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08" w:rsidRPr="001F0608" w:rsidRDefault="001F0608" w:rsidP="001F0608">
      <w:pPr>
        <w:shd w:val="clear" w:color="auto" w:fill="FFFFFF"/>
        <w:spacing w:after="105" w:line="42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0"/>
        </w:rPr>
      </w:pP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Cập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nhật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quy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định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mới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về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tử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>năm</w:t>
      </w:r>
      <w:proofErr w:type="spellEnd"/>
      <w:r w:rsidRPr="001F0608">
        <w:rPr>
          <w:rFonts w:ascii="Times New Roman" w:eastAsia="Times New Roman" w:hAnsi="Times New Roman" w:cs="Times New Roman"/>
          <w:b/>
          <w:kern w:val="36"/>
          <w:sz w:val="28"/>
          <w:szCs w:val="30"/>
        </w:rPr>
        <w:t xml:space="preserve"> 2020</w:t>
      </w:r>
    </w:p>
    <w:p w:rsidR="001F0608" w:rsidRPr="001F0608" w:rsidRDefault="001F0608" w:rsidP="001F0608">
      <w:pPr>
        <w:shd w:val="clear" w:color="auto" w:fill="FFFFFF"/>
        <w:spacing w:before="450" w:after="300" w:line="570" w:lineRule="atLeast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Thời</w:t>
      </w:r>
      <w:proofErr w:type="spellEnd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gian</w:t>
      </w:r>
      <w:proofErr w:type="spellEnd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bắt</w:t>
      </w:r>
      <w:proofErr w:type="spellEnd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buộc</w:t>
      </w:r>
      <w:proofErr w:type="spellEnd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111111"/>
          <w:sz w:val="28"/>
          <w:szCs w:val="28"/>
        </w:rPr>
        <w:t>tử</w:t>
      </w:r>
      <w:proofErr w:type="spellEnd"/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phủ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mốc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buộc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*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Từ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ngày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1/11/2018:</w:t>
      </w:r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buộc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*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Từ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ngày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1/11/2018 – 31/10/2020:</w:t>
      </w:r>
    </w:p>
    <w:p w:rsidR="001F0608" w:rsidRPr="001F0608" w:rsidRDefault="001F0608" w:rsidP="001F0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còn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hết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sang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F0608" w:rsidRPr="001F0608" w:rsidRDefault="001F0608" w:rsidP="001F0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1/11/2018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</w:p>
    <w:p w:rsidR="001F0608" w:rsidRPr="001F0608" w:rsidRDefault="001F0608" w:rsidP="001F06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Hà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đô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lớn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triển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bàn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2019.</w:t>
      </w:r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F060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AFB4F6" wp14:editId="05BDF9CB">
            <wp:simplePos x="0" y="0"/>
            <wp:positionH relativeFrom="column">
              <wp:posOffset>-161925</wp:posOffset>
            </wp:positionH>
            <wp:positionV relativeFrom="paragraph">
              <wp:posOffset>866775</wp:posOffset>
            </wp:positionV>
            <wp:extent cx="6667500" cy="3219450"/>
            <wp:effectExtent l="0" t="0" r="0" b="0"/>
            <wp:wrapTopAndBottom/>
            <wp:docPr id="1" name="Picture 1" descr="Quy định về Hóa đơn điện t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y định về Hóa đơn điện t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*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Từ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ngày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1/11/2020: 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buộc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Lưu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ý: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Trường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hợp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nghiệp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đã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và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đang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hình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thức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đặt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in/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in, nay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muốn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thêm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hình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thức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tử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có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được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không</w:t>
      </w:r>
      <w:proofErr w:type="spellEnd"/>
      <w:r w:rsidRPr="001F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?</w:t>
      </w:r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Theo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32/2011/TT-BTC:</w:t>
      </w:r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“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nhau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đặt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phát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cung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mỗi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lần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cung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(01)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cụ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F0608" w:rsidRPr="001F0608" w:rsidRDefault="001F0608" w:rsidP="001F06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lần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cung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đặt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lần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bán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cung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đặt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in;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đặt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1F06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in”.</w:t>
      </w:r>
    </w:p>
    <w:p w:rsidR="002526CF" w:rsidRPr="001F0608" w:rsidRDefault="002526CF" w:rsidP="001F06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26CF" w:rsidRPr="001F0608" w:rsidSect="001F0608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A5E"/>
    <w:multiLevelType w:val="multilevel"/>
    <w:tmpl w:val="769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08"/>
    <w:rsid w:val="001F0608"/>
    <w:rsid w:val="002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EBA7"/>
  <w15:chartTrackingRefBased/>
  <w15:docId w15:val="{98E07F94-7A39-4A66-9F70-5FE768E4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0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6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0608"/>
    <w:rPr>
      <w:b/>
      <w:bCs/>
    </w:rPr>
  </w:style>
  <w:style w:type="character" w:styleId="Emphasis">
    <w:name w:val="Emphasis"/>
    <w:basedOn w:val="DefaultParagraphFont"/>
    <w:uiPriority w:val="20"/>
    <w:qFormat/>
    <w:rsid w:val="001F060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F06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2020-05-07T15:50:00Z</dcterms:created>
  <dcterms:modified xsi:type="dcterms:W3CDTF">2020-05-07T15:52:00Z</dcterms:modified>
</cp:coreProperties>
</file>