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BF6B" w14:textId="62DE4C99" w:rsidR="00B30A5D" w:rsidRPr="005D6D3A" w:rsidRDefault="005F12B6" w:rsidP="005D6D3A">
      <w:pPr>
        <w:spacing w:beforeLines="20" w:before="48" w:afterLines="20" w:after="48" w:line="360" w:lineRule="auto"/>
        <w:jc w:val="center"/>
        <w:rPr>
          <w:rFonts w:ascii="Times New Roman" w:hAnsi="Times New Roman" w:cs="Times New Roman"/>
          <w:b/>
          <w:bCs/>
          <w:color w:val="FF0000"/>
          <w:sz w:val="28"/>
          <w:szCs w:val="28"/>
        </w:rPr>
      </w:pPr>
      <w:r w:rsidRPr="005D6D3A">
        <w:rPr>
          <w:rFonts w:ascii="Times New Roman" w:hAnsi="Times New Roman" w:cs="Times New Roman"/>
          <w:b/>
          <w:bCs/>
          <w:color w:val="FF0000"/>
          <w:sz w:val="28"/>
          <w:szCs w:val="28"/>
        </w:rPr>
        <w:t>Chế độ thai sản khi nhận nuôi con dưới 6 tháng tuổi</w:t>
      </w:r>
      <w:r w:rsidR="00EA64EC">
        <w:rPr>
          <w:rFonts w:ascii="Times New Roman" w:hAnsi="Times New Roman" w:cs="Times New Roman"/>
          <w:b/>
          <w:bCs/>
          <w:color w:val="FF0000"/>
          <w:sz w:val="28"/>
          <w:szCs w:val="28"/>
        </w:rPr>
        <w:t xml:space="preserve"> từ ngfày 01/7/2025</w:t>
      </w:r>
    </w:p>
    <w:p w14:paraId="00950795" w14:textId="6C4371F6" w:rsidR="005F12B6" w:rsidRPr="005D6D3A" w:rsidRDefault="005F12B6" w:rsidP="005D6D3A">
      <w:pPr>
        <w:spacing w:beforeLines="20" w:before="48" w:afterLines="20" w:after="48" w:line="360" w:lineRule="auto"/>
        <w:jc w:val="both"/>
        <w:rPr>
          <w:rFonts w:ascii="Times New Roman" w:hAnsi="Times New Roman" w:cs="Times New Roman"/>
          <w:i/>
          <w:iCs/>
          <w:sz w:val="28"/>
          <w:szCs w:val="28"/>
        </w:rPr>
      </w:pPr>
      <w:r w:rsidRPr="005D6D3A">
        <w:rPr>
          <w:rFonts w:ascii="Times New Roman" w:hAnsi="Times New Roman" w:cs="Times New Roman"/>
          <w:i/>
          <w:iCs/>
          <w:sz w:val="28"/>
          <w:szCs w:val="28"/>
        </w:rPr>
        <w:t>Chế độ thai sản khi nhận nuôi con dưới 6 tháng tuổi là một chính sách nhân văn, giúp người lao động có thời gian chăm sóc, nuôi dưỡng và gắn kết với con trong giai đoạn đầu đời. Trong bài viết này, Viet</w:t>
      </w:r>
      <w:r w:rsidR="00EA64EC">
        <w:rPr>
          <w:rFonts w:ascii="Times New Roman" w:hAnsi="Times New Roman" w:cs="Times New Roman"/>
          <w:i/>
          <w:iCs/>
          <w:sz w:val="28"/>
          <w:szCs w:val="28"/>
        </w:rPr>
        <w:t>j</w:t>
      </w:r>
      <w:r w:rsidRPr="005D6D3A">
        <w:rPr>
          <w:rFonts w:ascii="Times New Roman" w:hAnsi="Times New Roman" w:cs="Times New Roman"/>
          <w:i/>
          <w:iCs/>
          <w:sz w:val="28"/>
          <w:szCs w:val="28"/>
        </w:rPr>
        <w:t>ack sẽ cung cấp thông tin chi tiết về điều kiện, mức hưởng và thủ tục hưởng chế độ thai sản khi nhận nuôi con dưới 6 tháng tuổi mới nhất năm 2025, giúp bạn nắm rõ quyền lợi của mình theo quy định pháp luật.</w:t>
      </w:r>
    </w:p>
    <w:p w14:paraId="38CEA75D" w14:textId="77777777" w:rsidR="005F12B6" w:rsidRPr="005D6D3A" w:rsidRDefault="005F12B6" w:rsidP="005D6D3A">
      <w:pPr>
        <w:pStyle w:val="Heading2"/>
        <w:shd w:val="clear" w:color="auto" w:fill="FFFFFF"/>
        <w:spacing w:beforeLines="20" w:before="48" w:beforeAutospacing="0" w:afterLines="20" w:after="48" w:afterAutospacing="0" w:line="360" w:lineRule="auto"/>
        <w:jc w:val="both"/>
        <w:rPr>
          <w:b w:val="0"/>
          <w:bCs w:val="0"/>
          <w:sz w:val="28"/>
          <w:szCs w:val="28"/>
        </w:rPr>
      </w:pPr>
      <w:r w:rsidRPr="005D6D3A">
        <w:rPr>
          <w:sz w:val="28"/>
          <w:szCs w:val="28"/>
        </w:rPr>
        <w:t>1. Lao động nữ nhận nuôi con nuôi dưới 6 tháng tuổi có được hưởng chế độ thai sản theo quy định mới từ ngày 1/7/2025 không?</w:t>
      </w:r>
    </w:p>
    <w:p w14:paraId="6AF7766C" w14:textId="31592A7D" w:rsidR="005F12B6" w:rsidRPr="005F12B6" w:rsidRDefault="005F12B6" w:rsidP="005D6D3A">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F12B6">
        <w:rPr>
          <w:rFonts w:ascii="Times New Roman" w:eastAsia="Times New Roman" w:hAnsi="Times New Roman" w:cs="Times New Roman"/>
          <w:sz w:val="28"/>
          <w:szCs w:val="28"/>
        </w:rPr>
        <w:t>Căn cứ Điều 56 </w:t>
      </w:r>
      <w:hyperlink r:id="rId5" w:tgtFrame="_blank" w:history="1">
        <w:r w:rsidRPr="005F12B6">
          <w:rPr>
            <w:rFonts w:ascii="Times New Roman" w:eastAsia="Times New Roman" w:hAnsi="Times New Roman" w:cs="Times New Roman"/>
            <w:sz w:val="28"/>
            <w:szCs w:val="28"/>
          </w:rPr>
          <w:t>Luật Bảo hiểm xã hội 2024</w:t>
        </w:r>
      </w:hyperlink>
      <w:r w:rsidRPr="005F12B6">
        <w:rPr>
          <w:rFonts w:ascii="Times New Roman" w:eastAsia="Times New Roman" w:hAnsi="Times New Roman" w:cs="Times New Roman"/>
          <w:sz w:val="28"/>
          <w:szCs w:val="28"/>
        </w:rPr>
        <w:t> </w:t>
      </w:r>
      <w:r w:rsidR="00EA64EC">
        <w:rPr>
          <w:rFonts w:ascii="Times New Roman" w:eastAsia="Times New Roman" w:hAnsi="Times New Roman" w:cs="Times New Roman"/>
          <w:sz w:val="28"/>
          <w:szCs w:val="28"/>
        </w:rPr>
        <w:t xml:space="preserve">có </w:t>
      </w:r>
      <w:r w:rsidRPr="005F12B6">
        <w:rPr>
          <w:rFonts w:ascii="Times New Roman" w:eastAsia="Times New Roman" w:hAnsi="Times New Roman" w:cs="Times New Roman"/>
          <w:sz w:val="28"/>
          <w:szCs w:val="28"/>
        </w:rPr>
        <w:t>quy định</w:t>
      </w:r>
      <w:r w:rsidR="00EA64EC">
        <w:rPr>
          <w:rFonts w:ascii="Times New Roman" w:eastAsia="Times New Roman" w:hAnsi="Times New Roman" w:cs="Times New Roman"/>
          <w:sz w:val="28"/>
          <w:szCs w:val="28"/>
        </w:rPr>
        <w:t xml:space="preserve">: </w:t>
      </w:r>
    </w:p>
    <w:p w14:paraId="3286ECB2" w14:textId="77777777" w:rsidR="005F12B6" w:rsidRPr="005F12B6" w:rsidRDefault="005F12B6" w:rsidP="005D6D3A">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F12B6">
        <w:rPr>
          <w:rFonts w:ascii="Times New Roman" w:eastAsia="Times New Roman" w:hAnsi="Times New Roman" w:cs="Times New Roman"/>
          <w:b/>
          <w:bCs/>
          <w:i/>
          <w:iCs/>
          <w:sz w:val="28"/>
          <w:szCs w:val="28"/>
        </w:rPr>
        <w:t>Chế độ thai sản khi nhận nuôi con nuôi dưới 06 tháng tuổi</w:t>
      </w:r>
    </w:p>
    <w:p w14:paraId="7D332C05" w14:textId="77777777" w:rsidR="005F12B6" w:rsidRPr="005F12B6" w:rsidRDefault="005F12B6" w:rsidP="005D6D3A">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F12B6">
        <w:rPr>
          <w:rFonts w:ascii="Times New Roman" w:eastAsia="Times New Roman" w:hAnsi="Times New Roman" w:cs="Times New Roman"/>
          <w:i/>
          <w:iCs/>
          <w:sz w:val="28"/>
          <w:szCs w:val="28"/>
        </w:rPr>
        <w:t>1. Người lao động nhận nuôi con nuôi dưới 06 tháng tuổi thì được nghỉ việc hưởng chế độ thai sản kể từ ngày giao nhận con nuôi cho đến khi con đủ 06 tháng tuổi.</w:t>
      </w:r>
    </w:p>
    <w:p w14:paraId="2F2CC756" w14:textId="77777777" w:rsidR="005F12B6" w:rsidRPr="005F12B6" w:rsidRDefault="005F12B6" w:rsidP="005D6D3A">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F12B6">
        <w:rPr>
          <w:rFonts w:ascii="Times New Roman" w:eastAsia="Times New Roman" w:hAnsi="Times New Roman" w:cs="Times New Roman"/>
          <w:i/>
          <w:iCs/>
          <w:sz w:val="28"/>
          <w:szCs w:val="28"/>
        </w:rPr>
        <w:t>Trường hợp cả cha và mẹ cùng tham gia bảo hiểm xã hội bắt buộc đủ điều kiện hưởng chế độ thai sản quy định tại khoản 2 Điều 50 của Luật này thì chỉ cha hoặc mẹ được nghỉ việc hưởng chế độ thai sản.</w:t>
      </w:r>
    </w:p>
    <w:p w14:paraId="63E7EA1C" w14:textId="77777777" w:rsidR="005F12B6" w:rsidRPr="005F12B6" w:rsidRDefault="005F12B6" w:rsidP="005D6D3A">
      <w:pPr>
        <w:shd w:val="clear" w:color="auto" w:fill="FFFFFF"/>
        <w:spacing w:beforeLines="20" w:before="48" w:afterLines="20" w:after="48" w:line="360" w:lineRule="auto"/>
        <w:jc w:val="both"/>
        <w:rPr>
          <w:rFonts w:ascii="Times New Roman" w:eastAsia="Times New Roman" w:hAnsi="Times New Roman" w:cs="Times New Roman"/>
          <w:i/>
          <w:iCs/>
          <w:sz w:val="28"/>
          <w:szCs w:val="28"/>
        </w:rPr>
      </w:pPr>
      <w:r w:rsidRPr="005F12B6">
        <w:rPr>
          <w:rFonts w:ascii="Times New Roman" w:eastAsia="Times New Roman" w:hAnsi="Times New Roman" w:cs="Times New Roman"/>
          <w:i/>
          <w:iCs/>
          <w:sz w:val="28"/>
          <w:szCs w:val="28"/>
        </w:rPr>
        <w:t>2. Người lao động nhận nuôi con nuôi dưới 06 tháng tuổi không nghỉ việc thì chỉ được hưởng trợ cấp một lần theo quy định tại Điều 58 của Luật này.</w:t>
      </w:r>
    </w:p>
    <w:p w14:paraId="530D1308" w14:textId="46D49760" w:rsidR="005F12B6" w:rsidRDefault="005F12B6" w:rsidP="005D6D3A">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F12B6">
        <w:rPr>
          <w:rFonts w:ascii="Times New Roman" w:eastAsia="Times New Roman" w:hAnsi="Times New Roman" w:cs="Times New Roman"/>
          <w:sz w:val="28"/>
          <w:szCs w:val="28"/>
        </w:rPr>
        <w:t>Theo đó, lao động nữ nhận nuôi con nuôi dưới 06 tháng tuổi sẽ được nghỉ việc hưởng chế độ thai sản kể từ ngày giao nhận con nuôi cho đến khi con đủ 06 tháng tuổi.</w:t>
      </w:r>
    </w:p>
    <w:p w14:paraId="2E71F3CE" w14:textId="77777777" w:rsidR="00EA64EC" w:rsidRPr="005D6D3A" w:rsidRDefault="00EA64EC" w:rsidP="00EA64EC">
      <w:pPr>
        <w:pStyle w:val="NormalWeb"/>
        <w:spacing w:beforeLines="20" w:before="48" w:beforeAutospacing="0" w:afterLines="20" w:after="48" w:afterAutospacing="0" w:line="360" w:lineRule="auto"/>
        <w:jc w:val="center"/>
        <w:rPr>
          <w:sz w:val="28"/>
          <w:szCs w:val="28"/>
        </w:rPr>
      </w:pPr>
      <w:r w:rsidRPr="005D6D3A">
        <w:rPr>
          <w:noProof/>
          <w:sz w:val="28"/>
          <w:szCs w:val="28"/>
        </w:rPr>
        <w:lastRenderedPageBreak/>
        <w:drawing>
          <wp:inline distT="0" distB="0" distL="0" distR="0" wp14:anchorId="5AE150E8" wp14:editId="10E9CBB8">
            <wp:extent cx="5715000" cy="3810000"/>
            <wp:effectExtent l="0" t="0" r="0" b="0"/>
            <wp:docPr id="2" name="Picture 2" descr="Từ ngày 01/7/2025, thay đổi chế độ thai sản với người lao động nhận nuôi  con dưới 6 tháng tu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ừ ngày 01/7/2025, thay đổi chế độ thai sản với người lao động nhận nuôi  con dưới 6 tháng tuổ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5E9FAB0D" w14:textId="3186D793" w:rsidR="00EA64EC" w:rsidRPr="005D6D3A" w:rsidRDefault="00EA64EC" w:rsidP="00EA64EC">
      <w:pPr>
        <w:shd w:val="clear" w:color="auto" w:fill="FFFFFF"/>
        <w:spacing w:beforeLines="20" w:before="48" w:afterLines="20" w:after="48" w:line="360" w:lineRule="auto"/>
        <w:jc w:val="center"/>
        <w:rPr>
          <w:rFonts w:ascii="Times New Roman" w:eastAsia="Times New Roman" w:hAnsi="Times New Roman" w:cs="Times New Roman"/>
          <w:sz w:val="28"/>
          <w:szCs w:val="28"/>
        </w:rPr>
      </w:pPr>
      <w:r w:rsidRPr="005D6D3A">
        <w:rPr>
          <w:rStyle w:val="Emphasis"/>
          <w:rFonts w:ascii="Times New Roman" w:hAnsi="Times New Roman" w:cs="Times New Roman"/>
          <w:sz w:val="28"/>
          <w:szCs w:val="28"/>
        </w:rPr>
        <w:t>Chế độ thai sản cho người nhận con nuôi được quy định thế nào</w:t>
      </w:r>
      <w:r>
        <w:rPr>
          <w:rStyle w:val="Emphasis"/>
          <w:rFonts w:ascii="Times New Roman" w:hAnsi="Times New Roman" w:cs="Times New Roman"/>
          <w:sz w:val="28"/>
          <w:szCs w:val="28"/>
        </w:rPr>
        <w:t xml:space="preserve">? </w:t>
      </w:r>
      <w:r w:rsidRPr="005D6D3A">
        <w:rPr>
          <w:rStyle w:val="Emphasis"/>
          <w:rFonts w:ascii="Times New Roman" w:hAnsi="Times New Roman" w:cs="Times New Roman"/>
          <w:sz w:val="28"/>
          <w:szCs w:val="28"/>
        </w:rPr>
        <w:t>Ảnh: Internet</w:t>
      </w:r>
    </w:p>
    <w:p w14:paraId="5309013C" w14:textId="22B38B12" w:rsidR="005F12B6" w:rsidRPr="005D6D3A" w:rsidRDefault="005D6D3A" w:rsidP="005D6D3A">
      <w:pPr>
        <w:pStyle w:val="Heading2"/>
        <w:spacing w:beforeLines="20" w:before="48" w:beforeAutospacing="0" w:afterLines="20" w:after="48" w:afterAutospacing="0" w:line="360" w:lineRule="auto"/>
        <w:jc w:val="both"/>
        <w:rPr>
          <w:sz w:val="28"/>
          <w:szCs w:val="28"/>
        </w:rPr>
      </w:pPr>
      <w:r>
        <w:rPr>
          <w:rStyle w:val="Strong"/>
          <w:b/>
          <w:bCs/>
          <w:sz w:val="28"/>
          <w:szCs w:val="28"/>
        </w:rPr>
        <w:t>2</w:t>
      </w:r>
      <w:r w:rsidR="005F12B6" w:rsidRPr="005D6D3A">
        <w:rPr>
          <w:rStyle w:val="Strong"/>
          <w:b/>
          <w:bCs/>
          <w:sz w:val="28"/>
          <w:szCs w:val="28"/>
        </w:rPr>
        <w:t xml:space="preserve">. </w:t>
      </w:r>
      <w:r w:rsidR="00EA64EC">
        <w:rPr>
          <w:rStyle w:val="Strong"/>
          <w:b/>
          <w:bCs/>
          <w:sz w:val="28"/>
          <w:szCs w:val="28"/>
        </w:rPr>
        <w:t xml:space="preserve">Nhận nuôi con nuôi dưới 06 tháng tuổi thì được hưởng trợ cấp thai sản thế nào?  </w:t>
      </w:r>
    </w:p>
    <w:p w14:paraId="4CF7238A" w14:textId="77777777" w:rsidR="00EA64EC" w:rsidRPr="00EA64EC" w:rsidRDefault="00EA64EC" w:rsidP="00EA64EC">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lang w:val="en-SG"/>
        </w:rPr>
      </w:pPr>
      <w:r w:rsidRPr="00EA64EC">
        <w:rPr>
          <w:rFonts w:ascii="Times New Roman" w:eastAsia="Times New Roman" w:hAnsi="Times New Roman" w:cs="Times New Roman"/>
          <w:sz w:val="28"/>
          <w:szCs w:val="28"/>
          <w:lang w:val="en-SG"/>
        </w:rPr>
        <w:t>Căn cứ tại Điều 59 </w:t>
      </w:r>
      <w:hyperlink r:id="rId7" w:tgtFrame="_blank" w:history="1">
        <w:r w:rsidRPr="00EA64EC">
          <w:rPr>
            <w:rStyle w:val="Hyperlink"/>
            <w:rFonts w:ascii="Times New Roman" w:eastAsia="Times New Roman" w:hAnsi="Times New Roman" w:cs="Times New Roman"/>
            <w:sz w:val="28"/>
            <w:szCs w:val="28"/>
            <w:lang w:val="en-SG"/>
          </w:rPr>
          <w:t>Luật Bảo hiểm xã hội 2024</w:t>
        </w:r>
      </w:hyperlink>
      <w:r w:rsidRPr="00EA64EC">
        <w:rPr>
          <w:rFonts w:ascii="Times New Roman" w:eastAsia="Times New Roman" w:hAnsi="Times New Roman" w:cs="Times New Roman"/>
          <w:sz w:val="28"/>
          <w:szCs w:val="28"/>
          <w:lang w:val="en-SG"/>
        </w:rPr>
        <w:t> quy định:</w:t>
      </w:r>
    </w:p>
    <w:p w14:paraId="401B3741" w14:textId="77777777" w:rsidR="00EA64EC" w:rsidRPr="00EA64EC" w:rsidRDefault="00EA64EC" w:rsidP="00EA64EC">
      <w:pPr>
        <w:shd w:val="clear" w:color="auto" w:fill="FFFFFF"/>
        <w:spacing w:beforeLines="20" w:before="48" w:afterLines="20" w:after="48" w:line="360" w:lineRule="auto"/>
        <w:jc w:val="both"/>
        <w:outlineLvl w:val="1"/>
        <w:rPr>
          <w:rFonts w:ascii="Times New Roman" w:eastAsia="Times New Roman" w:hAnsi="Times New Roman" w:cs="Times New Roman"/>
          <w:i/>
          <w:iCs/>
          <w:sz w:val="28"/>
          <w:szCs w:val="28"/>
          <w:lang w:val="en-SG"/>
        </w:rPr>
      </w:pPr>
      <w:r w:rsidRPr="00EA64EC">
        <w:rPr>
          <w:rFonts w:ascii="Times New Roman" w:eastAsia="Times New Roman" w:hAnsi="Times New Roman" w:cs="Times New Roman"/>
          <w:b/>
          <w:bCs/>
          <w:i/>
          <w:iCs/>
          <w:sz w:val="28"/>
          <w:szCs w:val="28"/>
          <w:lang w:val="en-SG"/>
        </w:rPr>
        <w:t>Trợ cấp thai sản</w:t>
      </w:r>
    </w:p>
    <w:p w14:paraId="6F239572" w14:textId="77777777" w:rsidR="00EA64EC" w:rsidRPr="00EA64EC" w:rsidRDefault="00EA64EC" w:rsidP="00EA64EC">
      <w:pPr>
        <w:shd w:val="clear" w:color="auto" w:fill="FFFFFF"/>
        <w:spacing w:beforeLines="20" w:before="48" w:afterLines="20" w:after="48" w:line="360" w:lineRule="auto"/>
        <w:jc w:val="both"/>
        <w:outlineLvl w:val="1"/>
        <w:rPr>
          <w:rFonts w:ascii="Times New Roman" w:eastAsia="Times New Roman" w:hAnsi="Times New Roman" w:cs="Times New Roman"/>
          <w:i/>
          <w:iCs/>
          <w:sz w:val="28"/>
          <w:szCs w:val="28"/>
          <w:lang w:val="en-SG"/>
        </w:rPr>
      </w:pPr>
      <w:r w:rsidRPr="00EA64EC">
        <w:rPr>
          <w:rFonts w:ascii="Times New Roman" w:eastAsia="Times New Roman" w:hAnsi="Times New Roman" w:cs="Times New Roman"/>
          <w:i/>
          <w:iCs/>
          <w:sz w:val="28"/>
          <w:szCs w:val="28"/>
          <w:lang w:val="en-SG"/>
        </w:rPr>
        <w:t>1. Trợ cấp thai sản một tháng của người lao động quy định tại các điều 51, 52, 53, 54, 55, 56 và 57 của Luật này bằng 100% mức bình quân tiền lương làm căn cứ đóng bảo hiểm xã hội bắt buộc của 06 tháng gần nhất trước khi nghỉ việc hưởng chế độ thai sản.</w:t>
      </w:r>
    </w:p>
    <w:p w14:paraId="432938A4" w14:textId="77777777" w:rsidR="00EA64EC" w:rsidRPr="00EA64EC" w:rsidRDefault="00EA64EC" w:rsidP="00EA64EC">
      <w:pPr>
        <w:shd w:val="clear" w:color="auto" w:fill="FFFFFF"/>
        <w:spacing w:beforeLines="20" w:before="48" w:afterLines="20" w:after="48" w:line="360" w:lineRule="auto"/>
        <w:jc w:val="both"/>
        <w:outlineLvl w:val="1"/>
        <w:rPr>
          <w:rFonts w:ascii="Times New Roman" w:eastAsia="Times New Roman" w:hAnsi="Times New Roman" w:cs="Times New Roman"/>
          <w:i/>
          <w:iCs/>
          <w:sz w:val="28"/>
          <w:szCs w:val="28"/>
          <w:lang w:val="en-SG"/>
        </w:rPr>
      </w:pPr>
      <w:r w:rsidRPr="00EA64EC">
        <w:rPr>
          <w:rFonts w:ascii="Times New Roman" w:eastAsia="Times New Roman" w:hAnsi="Times New Roman" w:cs="Times New Roman"/>
          <w:i/>
          <w:iCs/>
          <w:sz w:val="28"/>
          <w:szCs w:val="28"/>
          <w:lang w:val="en-SG"/>
        </w:rPr>
        <w:t>Đối với người lao động đóng bảo hiểm xã hội bắt buộc chưa đủ 06 tháng thì trợ cấp thai sản của người lao động quy định tại Điều 51, Điều 52, các khoản 2, 5, 6 và 7 Điều 53, các khoản 1, 2 và 4 Điều 54, khoản 2 Điều 55 và Điều 57 của Luật này là mức bình quân tiền lương làm căn cứ đóng bảo hiểm xã hội bắt buộc của các tháng đã đóng.</w:t>
      </w:r>
    </w:p>
    <w:p w14:paraId="1F6EB9BB" w14:textId="77777777" w:rsidR="00EA64EC" w:rsidRPr="00EA64EC" w:rsidRDefault="00EA64EC" w:rsidP="00EA64EC">
      <w:pPr>
        <w:shd w:val="clear" w:color="auto" w:fill="FFFFFF"/>
        <w:spacing w:beforeLines="20" w:before="48" w:afterLines="20" w:after="48" w:line="360" w:lineRule="auto"/>
        <w:jc w:val="both"/>
        <w:outlineLvl w:val="1"/>
        <w:rPr>
          <w:rFonts w:ascii="Times New Roman" w:eastAsia="Times New Roman" w:hAnsi="Times New Roman" w:cs="Times New Roman"/>
          <w:i/>
          <w:iCs/>
          <w:sz w:val="28"/>
          <w:szCs w:val="28"/>
          <w:lang w:val="en-SG"/>
        </w:rPr>
      </w:pPr>
      <w:r w:rsidRPr="00EA64EC">
        <w:rPr>
          <w:rFonts w:ascii="Times New Roman" w:eastAsia="Times New Roman" w:hAnsi="Times New Roman" w:cs="Times New Roman"/>
          <w:i/>
          <w:iCs/>
          <w:sz w:val="28"/>
          <w:szCs w:val="28"/>
          <w:lang w:val="en-SG"/>
        </w:rPr>
        <w:t>2. Trợ cấp thai sản một ngày đối với trường hợp quy định tại Điều 51 và khoản 2 Điều 53 của Luật này được tính bằng trợ cấp thai sản một tháng chia cho 24 ngày.</w:t>
      </w:r>
    </w:p>
    <w:p w14:paraId="75D7FFB7" w14:textId="77777777" w:rsidR="00EA64EC" w:rsidRPr="00EA64EC" w:rsidRDefault="00EA64EC" w:rsidP="00EA64EC">
      <w:pPr>
        <w:shd w:val="clear" w:color="auto" w:fill="FFFFFF"/>
        <w:spacing w:beforeLines="20" w:before="48" w:afterLines="20" w:after="48" w:line="360" w:lineRule="auto"/>
        <w:jc w:val="both"/>
        <w:outlineLvl w:val="1"/>
        <w:rPr>
          <w:rFonts w:ascii="Times New Roman" w:eastAsia="Times New Roman" w:hAnsi="Times New Roman" w:cs="Times New Roman"/>
          <w:i/>
          <w:iCs/>
          <w:sz w:val="28"/>
          <w:szCs w:val="28"/>
          <w:lang w:val="en-SG"/>
        </w:rPr>
      </w:pPr>
      <w:r w:rsidRPr="00EA64EC">
        <w:rPr>
          <w:rFonts w:ascii="Times New Roman" w:eastAsia="Times New Roman" w:hAnsi="Times New Roman" w:cs="Times New Roman"/>
          <w:i/>
          <w:iCs/>
          <w:sz w:val="28"/>
          <w:szCs w:val="28"/>
          <w:lang w:val="en-SG"/>
        </w:rPr>
        <w:lastRenderedPageBreak/>
        <w:t>3. Trợ cấp thai sản khi sinh con, nhận con khi nhờ mang thai hộ hoặc nhận nuôi con nuôi dưới 06 tháng tuổi được tính theo mức trợ cấp thai sản quy định tại khoản 1 Điều này, trường hợp có ngày lẻ hoặc trường hợp quy định tại Điều 52 và Điều 57 của Luật này thì mức trợ cấp mỗi ngày được tính bằng mức trợ cấp thai sản một tháng chia cho 30 ngày.</w:t>
      </w:r>
    </w:p>
    <w:p w14:paraId="7A7A05F0" w14:textId="77777777" w:rsidR="00EA64EC" w:rsidRPr="00EA64EC" w:rsidRDefault="00EA64EC" w:rsidP="00EA64EC">
      <w:pPr>
        <w:shd w:val="clear" w:color="auto" w:fill="FFFFFF"/>
        <w:spacing w:beforeLines="20" w:before="48" w:afterLines="20" w:after="48" w:line="360" w:lineRule="auto"/>
        <w:jc w:val="both"/>
        <w:outlineLvl w:val="1"/>
        <w:rPr>
          <w:rFonts w:ascii="Times New Roman" w:eastAsia="Times New Roman" w:hAnsi="Times New Roman" w:cs="Times New Roman"/>
          <w:i/>
          <w:iCs/>
          <w:sz w:val="28"/>
          <w:szCs w:val="28"/>
          <w:lang w:val="en-SG"/>
        </w:rPr>
      </w:pPr>
      <w:r w:rsidRPr="00EA64EC">
        <w:rPr>
          <w:rFonts w:ascii="Times New Roman" w:eastAsia="Times New Roman" w:hAnsi="Times New Roman" w:cs="Times New Roman"/>
          <w:i/>
          <w:iCs/>
          <w:sz w:val="28"/>
          <w:szCs w:val="28"/>
          <w:lang w:val="en-SG"/>
        </w:rPr>
        <w:t>4. Trợ cấp thai sản của lao động nữ mang thai hộ, lao động nữ nhờ mang thai hộ được thực hiện theo quy định tại các khoản 1, 2 và 3 Điều này và được tính trên cơ sở mức bình quân tiền lương làm căn cứ đóng bảo hiểm xã hội bắt buộc theo quy định tại Điều này trước khi nghỉ việc hưởng chế độ thai sản của lao động nữ mang thai hộ, lao động nữ nhờ mang thai hộ.</w:t>
      </w:r>
    </w:p>
    <w:p w14:paraId="3642CF22" w14:textId="77777777" w:rsidR="00EA64EC" w:rsidRPr="00EA64EC" w:rsidRDefault="00EA64EC" w:rsidP="00EA64EC">
      <w:pPr>
        <w:shd w:val="clear" w:color="auto" w:fill="FFFFFF"/>
        <w:spacing w:beforeLines="20" w:before="48" w:afterLines="20" w:after="48" w:line="360" w:lineRule="auto"/>
        <w:jc w:val="both"/>
        <w:outlineLvl w:val="1"/>
        <w:rPr>
          <w:rFonts w:ascii="Times New Roman" w:eastAsia="Times New Roman" w:hAnsi="Times New Roman" w:cs="Times New Roman"/>
          <w:i/>
          <w:iCs/>
          <w:sz w:val="28"/>
          <w:szCs w:val="28"/>
          <w:lang w:val="en-SG"/>
        </w:rPr>
      </w:pPr>
      <w:r w:rsidRPr="00EA64EC">
        <w:rPr>
          <w:rFonts w:ascii="Times New Roman" w:eastAsia="Times New Roman" w:hAnsi="Times New Roman" w:cs="Times New Roman"/>
          <w:i/>
          <w:iCs/>
          <w:sz w:val="28"/>
          <w:szCs w:val="28"/>
          <w:lang w:val="en-SG"/>
        </w:rPr>
        <w:t>5. Bộ trưởng Bộ Lao động - Thương binh và Xã hội quy định việc tính, việc xác định điều kiện đối với từng trường hợp hưởng chế độ thai sản.</w:t>
      </w:r>
    </w:p>
    <w:p w14:paraId="57666D31" w14:textId="77777777" w:rsidR="00EA64EC" w:rsidRPr="00EA64EC" w:rsidRDefault="00EA64EC" w:rsidP="00EA64EC">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lang w:val="en-SG"/>
        </w:rPr>
      </w:pPr>
      <w:r w:rsidRPr="00EA64EC">
        <w:rPr>
          <w:rFonts w:ascii="Times New Roman" w:eastAsia="Times New Roman" w:hAnsi="Times New Roman" w:cs="Times New Roman"/>
          <w:sz w:val="28"/>
          <w:szCs w:val="28"/>
          <w:lang w:val="en-SG"/>
        </w:rPr>
        <w:t>Theo đó, mức trợ cấp thai sản một tháng của người lao động nhận nuôi con nuôi dưới 06 tháng bằng 100% mức bình quân tiền lương làm căn cứ đóng bảo hiểm xã hội bắt buộc của 06 tháng gần nhất trước khi nghỉ việc hưởng chế độ thai sản.</w:t>
      </w:r>
    </w:p>
    <w:p w14:paraId="6E3E2B63" w14:textId="71D0A1DD" w:rsidR="00EA64EC" w:rsidRPr="00EA64EC" w:rsidRDefault="00EA64EC" w:rsidP="005D6D3A">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lang w:val="en-SG"/>
        </w:rPr>
      </w:pPr>
      <w:r w:rsidRPr="00EA64EC">
        <w:rPr>
          <w:rFonts w:ascii="Times New Roman" w:eastAsia="Times New Roman" w:hAnsi="Times New Roman" w:cs="Times New Roman"/>
          <w:sz w:val="28"/>
          <w:szCs w:val="28"/>
          <w:lang w:val="en-SG"/>
        </w:rPr>
        <w:t>Đối với người lao động đóng bảo hiểm xã hội bắt buộc chưa đủ 06 tháng thì trợ cấp thai sản là mức bình quân tiền lương làm căn cứ đóng bảo hiểm xã hội bắt buộc của các tháng đã đóng.</w:t>
      </w:r>
    </w:p>
    <w:p w14:paraId="3E62511E" w14:textId="37809DC9" w:rsidR="005F12B6" w:rsidRPr="005F12B6" w:rsidRDefault="005D6D3A" w:rsidP="005D6D3A">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r w:rsidR="00EA64EC">
        <w:rPr>
          <w:rFonts w:ascii="Times New Roman" w:eastAsia="Times New Roman" w:hAnsi="Times New Roman" w:cs="Times New Roman"/>
          <w:b/>
          <w:bCs/>
          <w:sz w:val="28"/>
          <w:szCs w:val="28"/>
        </w:rPr>
        <w:t xml:space="preserve">Hồ sơ đề nghị hưởng chế độ thai sản đối với người lao động nhận nuôi con nuôi dưới 06 tháng tuổi </w:t>
      </w:r>
    </w:p>
    <w:p w14:paraId="45E40B1A" w14:textId="77777777" w:rsidR="00EA64EC" w:rsidRPr="00EA64EC" w:rsidRDefault="00EA64EC" w:rsidP="00EA64EC">
      <w:pPr>
        <w:spacing w:beforeLines="20" w:before="48" w:afterLines="20" w:after="48" w:line="360" w:lineRule="auto"/>
        <w:jc w:val="both"/>
        <w:rPr>
          <w:rFonts w:ascii="Times New Roman" w:eastAsia="Times New Roman" w:hAnsi="Times New Roman" w:cs="Times New Roman"/>
          <w:sz w:val="28"/>
          <w:szCs w:val="28"/>
          <w:lang w:val="en-SG"/>
        </w:rPr>
      </w:pPr>
      <w:r w:rsidRPr="00EA64EC">
        <w:rPr>
          <w:rFonts w:ascii="Times New Roman" w:eastAsia="Times New Roman" w:hAnsi="Times New Roman" w:cs="Times New Roman"/>
          <w:sz w:val="28"/>
          <w:szCs w:val="28"/>
          <w:lang w:val="en-SG"/>
        </w:rPr>
        <w:t>Theo đó, hồ sơ đề nghị hưởng chế độ thai sản đối với người lao động nhận nuôi con nuôi dưới 06 tháng tuổi bao gồm:</w:t>
      </w:r>
    </w:p>
    <w:p w14:paraId="588AB511" w14:textId="77777777" w:rsidR="00EA64EC" w:rsidRPr="00EA64EC" w:rsidRDefault="00EA64EC" w:rsidP="00EA64EC">
      <w:pPr>
        <w:spacing w:beforeLines="20" w:before="48" w:afterLines="20" w:after="48" w:line="360" w:lineRule="auto"/>
        <w:jc w:val="both"/>
        <w:rPr>
          <w:rFonts w:ascii="Times New Roman" w:eastAsia="Times New Roman" w:hAnsi="Times New Roman" w:cs="Times New Roman"/>
          <w:sz w:val="28"/>
          <w:szCs w:val="28"/>
          <w:lang w:val="en-SG"/>
        </w:rPr>
      </w:pPr>
      <w:r w:rsidRPr="00EA64EC">
        <w:rPr>
          <w:rFonts w:ascii="Times New Roman" w:eastAsia="Times New Roman" w:hAnsi="Times New Roman" w:cs="Times New Roman"/>
          <w:sz w:val="28"/>
          <w:szCs w:val="28"/>
          <w:lang w:val="en-SG"/>
        </w:rPr>
        <w:t>- Bản sao giấy chứng nhận nuôi con nuôi;</w:t>
      </w:r>
    </w:p>
    <w:p w14:paraId="5C513819" w14:textId="77777777" w:rsidR="00EA64EC" w:rsidRPr="00EA64EC" w:rsidRDefault="00EA64EC" w:rsidP="00EA64EC">
      <w:pPr>
        <w:spacing w:beforeLines="20" w:before="48" w:afterLines="20" w:after="48" w:line="360" w:lineRule="auto"/>
        <w:jc w:val="both"/>
        <w:rPr>
          <w:rFonts w:ascii="Times New Roman" w:eastAsia="Times New Roman" w:hAnsi="Times New Roman" w:cs="Times New Roman"/>
          <w:sz w:val="28"/>
          <w:szCs w:val="28"/>
          <w:lang w:val="en-SG"/>
        </w:rPr>
      </w:pPr>
      <w:r w:rsidRPr="00EA64EC">
        <w:rPr>
          <w:rFonts w:ascii="Times New Roman" w:eastAsia="Times New Roman" w:hAnsi="Times New Roman" w:cs="Times New Roman"/>
          <w:sz w:val="28"/>
          <w:szCs w:val="28"/>
          <w:lang w:val="en-SG"/>
        </w:rPr>
        <w:t>- Biên bản giao nhận con.</w:t>
      </w:r>
    </w:p>
    <w:p w14:paraId="6D08219C" w14:textId="1657B5ED" w:rsidR="005F12B6" w:rsidRPr="005D6D3A" w:rsidRDefault="00EA64EC" w:rsidP="00EA64EC">
      <w:pPr>
        <w:spacing w:beforeLines="20" w:before="48" w:afterLines="20" w:after="48" w:line="360" w:lineRule="auto"/>
        <w:jc w:val="both"/>
        <w:rPr>
          <w:rFonts w:ascii="Times New Roman" w:hAnsi="Times New Roman" w:cs="Times New Roman"/>
          <w:i/>
          <w:iCs/>
          <w:sz w:val="28"/>
          <w:szCs w:val="28"/>
        </w:rPr>
      </w:pPr>
      <w:r w:rsidRPr="00EA64EC">
        <w:rPr>
          <w:rFonts w:ascii="Times New Roman" w:hAnsi="Times New Roman" w:cs="Times New Roman"/>
          <w:i/>
          <w:iCs/>
          <w:sz w:val="28"/>
          <w:szCs w:val="28"/>
        </w:rPr>
        <w:t xml:space="preserve">Trên đây là </w:t>
      </w:r>
      <w:r>
        <w:rPr>
          <w:rFonts w:ascii="Times New Roman" w:hAnsi="Times New Roman" w:cs="Times New Roman"/>
          <w:i/>
          <w:iCs/>
          <w:sz w:val="28"/>
          <w:szCs w:val="28"/>
        </w:rPr>
        <w:t>những thông tin về chế độ thai sản khi nhận nuôi con dưới 06 tháng tuổi từ ngày 01/7/2025</w:t>
      </w:r>
      <w:r w:rsidRPr="00EA64EC">
        <w:rPr>
          <w:rFonts w:ascii="Times New Roman" w:hAnsi="Times New Roman" w:cs="Times New Roman"/>
          <w:i/>
          <w:iCs/>
          <w:sz w:val="28"/>
          <w:szCs w:val="28"/>
        </w:rPr>
        <w:t>. Mong rằng những chia sẻ này sẽ hữu ích cho bạn trong công việc. Hãy theo dõi Vietjack để không bỏ lỡ các cập nhật quan trọng về giáo dục và các mẫu văn bản hữu ích khác trong tương lai!</w:t>
      </w:r>
    </w:p>
    <w:sectPr w:rsidR="005F12B6" w:rsidRPr="005D6D3A" w:rsidSect="00EA64EC">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F6176"/>
    <w:multiLevelType w:val="multilevel"/>
    <w:tmpl w:val="80FA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57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B6"/>
    <w:rsid w:val="005D6D3A"/>
    <w:rsid w:val="005F12B6"/>
    <w:rsid w:val="00A1317F"/>
    <w:rsid w:val="00B30A5D"/>
    <w:rsid w:val="00E4154E"/>
    <w:rsid w:val="00EA64EC"/>
    <w:rsid w:val="00EB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3B4E"/>
  <w15:chartTrackingRefBased/>
  <w15:docId w15:val="{E8330A96-E8A1-47E6-9D7F-A64E8EC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F12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2B6"/>
    <w:pPr>
      <w:ind w:left="720"/>
      <w:contextualSpacing/>
    </w:pPr>
  </w:style>
  <w:style w:type="character" w:customStyle="1" w:styleId="Heading2Char">
    <w:name w:val="Heading 2 Char"/>
    <w:basedOn w:val="DefaultParagraphFont"/>
    <w:link w:val="Heading2"/>
    <w:uiPriority w:val="9"/>
    <w:rsid w:val="005F12B6"/>
    <w:rPr>
      <w:rFonts w:ascii="Times New Roman" w:eastAsia="Times New Roman" w:hAnsi="Times New Roman" w:cs="Times New Roman"/>
      <w:b/>
      <w:bCs/>
      <w:sz w:val="36"/>
      <w:szCs w:val="36"/>
    </w:rPr>
  </w:style>
  <w:style w:type="character" w:styleId="Strong">
    <w:name w:val="Strong"/>
    <w:basedOn w:val="DefaultParagraphFont"/>
    <w:uiPriority w:val="22"/>
    <w:qFormat/>
    <w:rsid w:val="005F12B6"/>
    <w:rPr>
      <w:b/>
      <w:bCs/>
    </w:rPr>
  </w:style>
  <w:style w:type="paragraph" w:styleId="NormalWeb">
    <w:name w:val="Normal (Web)"/>
    <w:basedOn w:val="Normal"/>
    <w:uiPriority w:val="99"/>
    <w:semiHidden/>
    <w:unhideWhenUsed/>
    <w:rsid w:val="005F12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12B6"/>
    <w:rPr>
      <w:color w:val="0000FF"/>
      <w:u w:val="single"/>
    </w:rPr>
  </w:style>
  <w:style w:type="character" w:styleId="Emphasis">
    <w:name w:val="Emphasis"/>
    <w:basedOn w:val="DefaultParagraphFont"/>
    <w:uiPriority w:val="20"/>
    <w:qFormat/>
    <w:rsid w:val="005F12B6"/>
    <w:rPr>
      <w:i/>
      <w:iCs/>
    </w:rPr>
  </w:style>
  <w:style w:type="character" w:styleId="UnresolvedMention">
    <w:name w:val="Unresolved Mention"/>
    <w:basedOn w:val="DefaultParagraphFont"/>
    <w:uiPriority w:val="99"/>
    <w:semiHidden/>
    <w:unhideWhenUsed/>
    <w:rsid w:val="00EA6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150">
      <w:bodyDiv w:val="1"/>
      <w:marLeft w:val="0"/>
      <w:marRight w:val="0"/>
      <w:marTop w:val="0"/>
      <w:marBottom w:val="0"/>
      <w:divBdr>
        <w:top w:val="none" w:sz="0" w:space="0" w:color="auto"/>
        <w:left w:val="none" w:sz="0" w:space="0" w:color="auto"/>
        <w:bottom w:val="none" w:sz="0" w:space="0" w:color="auto"/>
        <w:right w:val="none" w:sz="0" w:space="0" w:color="auto"/>
      </w:divBdr>
    </w:div>
    <w:div w:id="1149633741">
      <w:bodyDiv w:val="1"/>
      <w:marLeft w:val="0"/>
      <w:marRight w:val="0"/>
      <w:marTop w:val="0"/>
      <w:marBottom w:val="0"/>
      <w:divBdr>
        <w:top w:val="none" w:sz="0" w:space="0" w:color="auto"/>
        <w:left w:val="none" w:sz="0" w:space="0" w:color="auto"/>
        <w:bottom w:val="none" w:sz="0" w:space="0" w:color="auto"/>
        <w:right w:val="none" w:sz="0" w:space="0" w:color="auto"/>
      </w:divBdr>
      <w:divsChild>
        <w:div w:id="85735542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1353189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1181825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9720589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5209323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7269495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4250153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5311365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7742193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6499294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3976338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5660477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799263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3025857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4866766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4998985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30680705">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379014614">
      <w:bodyDiv w:val="1"/>
      <w:marLeft w:val="0"/>
      <w:marRight w:val="0"/>
      <w:marTop w:val="0"/>
      <w:marBottom w:val="0"/>
      <w:divBdr>
        <w:top w:val="none" w:sz="0" w:space="0" w:color="auto"/>
        <w:left w:val="none" w:sz="0" w:space="0" w:color="auto"/>
        <w:bottom w:val="none" w:sz="0" w:space="0" w:color="auto"/>
        <w:right w:val="none" w:sz="0" w:space="0" w:color="auto"/>
      </w:divBdr>
      <w:divsChild>
        <w:div w:id="133472168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9927864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4744581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56405370">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Bao-hiem/Luat-Bao-hiem-xa-hoi-2024-557190.aspx?anchor=dieu_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huvienphapluat.vn/van-ban/Bao-hiem/Luat-Bao-hiem-xa-hoi-2024-557190.aspx?anchor=dieu_5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2025-11-01T02:01:00Z</dcterms:created>
  <dcterms:modified xsi:type="dcterms:W3CDTF">2025-11-01T02:01:00Z</dcterms:modified>
</cp:coreProperties>
</file>