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673" w:rsidRPr="00452673" w:rsidRDefault="00452673" w:rsidP="00452673">
      <w:pPr>
        <w:spacing w:beforeLines="50" w:before="120" w:afterLines="50" w:after="120"/>
        <w:jc w:val="center"/>
        <w:rPr>
          <w:b/>
          <w:bCs/>
          <w:sz w:val="36"/>
          <w:szCs w:val="36"/>
        </w:rPr>
      </w:pPr>
      <w:r w:rsidRPr="00452673">
        <w:rPr>
          <w:b/>
          <w:bCs/>
          <w:sz w:val="36"/>
          <w:szCs w:val="36"/>
        </w:rPr>
        <w:t>Công chức là gì? Viên chức là gì?</w:t>
      </w:r>
    </w:p>
    <w:p w:rsidR="00452673" w:rsidRPr="00452673" w:rsidRDefault="00452673" w:rsidP="00452673">
      <w:pPr>
        <w:spacing w:beforeLines="50" w:before="120" w:afterLines="50" w:after="120"/>
        <w:jc w:val="both"/>
        <w:rPr>
          <w:b/>
          <w:bCs/>
          <w:sz w:val="28"/>
          <w:szCs w:val="28"/>
        </w:rPr>
      </w:pPr>
      <w:r w:rsidRPr="00452673">
        <w:rPr>
          <w:b/>
          <w:bCs/>
          <w:sz w:val="28"/>
          <w:szCs w:val="28"/>
        </w:rPr>
        <w:t xml:space="preserve">Công chức là gì hay viên chức là gì? Đây vẫn là những khái niệm mà nhiều người vẫn chưa nắm rõ. </w:t>
      </w:r>
    </w:p>
    <w:p w:rsidR="00452673" w:rsidRPr="00452673" w:rsidRDefault="00452673" w:rsidP="00452673">
      <w:pPr>
        <w:spacing w:beforeLines="50" w:before="120" w:afterLines="50" w:after="120"/>
        <w:jc w:val="both"/>
        <w:rPr>
          <w:b/>
          <w:bCs/>
          <w:sz w:val="28"/>
          <w:szCs w:val="28"/>
        </w:rPr>
      </w:pPr>
      <w:r w:rsidRPr="00452673">
        <w:rPr>
          <w:b/>
          <w:bCs/>
          <w:sz w:val="28"/>
          <w:szCs w:val="28"/>
        </w:rPr>
        <w:t>1. Công chức là gì</w:t>
      </w:r>
    </w:p>
    <w:p w:rsidR="00452673" w:rsidRPr="00452673" w:rsidRDefault="00452673" w:rsidP="00452673">
      <w:pPr>
        <w:spacing w:beforeLines="50" w:before="120" w:afterLines="50" w:after="120"/>
        <w:jc w:val="both"/>
        <w:rPr>
          <w:b/>
          <w:bCs/>
          <w:sz w:val="28"/>
          <w:szCs w:val="28"/>
        </w:rPr>
      </w:pPr>
      <w:r w:rsidRPr="00452673">
        <w:rPr>
          <w:b/>
          <w:bCs/>
          <w:sz w:val="28"/>
          <w:szCs w:val="28"/>
        </w:rPr>
        <w:t xml:space="preserve">Và căn cứ theo Điều 4 </w:t>
      </w:r>
      <w:r w:rsidRPr="00452673">
        <w:rPr>
          <w:b/>
          <w:bCs/>
          <w:sz w:val="28"/>
          <w:szCs w:val="28"/>
        </w:rPr>
        <w:t>Luật cán bộ công chức năm 2008</w:t>
      </w:r>
      <w:r w:rsidRPr="00452673">
        <w:rPr>
          <w:b/>
          <w:bCs/>
          <w:sz w:val="28"/>
          <w:szCs w:val="28"/>
        </w:rPr>
        <w:t xml:space="preserve"> quy định về cán bộ, công chức như sau:</w:t>
      </w:r>
    </w:p>
    <w:p w:rsidR="00452673" w:rsidRPr="00452673" w:rsidRDefault="00452673" w:rsidP="00452673">
      <w:pPr>
        <w:spacing w:beforeLines="50" w:before="120" w:afterLines="50" w:after="120"/>
        <w:jc w:val="both"/>
        <w:rPr>
          <w:sz w:val="28"/>
          <w:szCs w:val="28"/>
        </w:rPr>
      </w:pPr>
      <w:r w:rsidRPr="00452673">
        <w:rPr>
          <w:sz w:val="28"/>
          <w:szCs w:val="28"/>
        </w:rPr>
        <w:t>Công chức là công dân Việt Nam, được tuyển dụng, bổ nhiệm vào ngạch, chức vụ, chức danh trong cơ quan của Đảng Cộng sản Việt Nam, Nhà nước, tổ chức chính trị – xã hội ở trung ương, cấp tỉnh, cấp huyện; trong cơ quan, đơn vị thuộc Quân đội nhân dân mà không phải là sĩ quan, quân nhân chuyên nghiệp, công nhân quốc phòng; trong cơ quan, đơn vị thuộc Công an nhân dân mà không phải là sĩ quan, hạ sĩ quan chuyên nghiệp và trong bộ máy lãnh đạo, quản lý của đơn vị sự nghiệp công lập của Đảng Cộng sản Việt Nam, Nhà nước, tổ chức chính trị – xã hội (sau đây gọi chung là đơn vị sự nghiệp công lập), trong biên chế và hưởng lương từ ngân sách nhà nước; đối với công chức trong bộ máy lãnh đạo, quản lý của đơn vị sự nghiệp công lập thì lương được bảo đảm từ quỹ lương của đơn vị sự nghiệp công lập theo quy định của pháp luật.</w:t>
      </w:r>
    </w:p>
    <w:p w:rsidR="00452673" w:rsidRPr="00452673" w:rsidRDefault="00452673" w:rsidP="00452673">
      <w:pPr>
        <w:spacing w:beforeLines="50" w:before="120" w:afterLines="50" w:after="120"/>
        <w:jc w:val="both"/>
        <w:rPr>
          <w:b/>
          <w:bCs/>
          <w:sz w:val="28"/>
          <w:szCs w:val="28"/>
        </w:rPr>
      </w:pPr>
      <w:r w:rsidRPr="00452673">
        <w:rPr>
          <w:b/>
          <w:bCs/>
          <w:sz w:val="28"/>
          <w:szCs w:val="28"/>
        </w:rPr>
        <w:t>2. Viên chức là gì</w:t>
      </w:r>
    </w:p>
    <w:p w:rsidR="00452673" w:rsidRPr="00452673" w:rsidRDefault="00452673" w:rsidP="00452673">
      <w:pPr>
        <w:spacing w:beforeLines="50" w:before="120" w:afterLines="50" w:after="120"/>
        <w:jc w:val="both"/>
        <w:rPr>
          <w:b/>
          <w:bCs/>
          <w:sz w:val="28"/>
          <w:szCs w:val="28"/>
        </w:rPr>
      </w:pPr>
      <w:r w:rsidRPr="00452673">
        <w:rPr>
          <w:b/>
          <w:bCs/>
          <w:sz w:val="28"/>
          <w:szCs w:val="28"/>
        </w:rPr>
        <w:t xml:space="preserve">Căn cứ theo Điều 2, </w:t>
      </w:r>
      <w:r w:rsidRPr="00452673">
        <w:rPr>
          <w:b/>
          <w:bCs/>
          <w:sz w:val="28"/>
          <w:szCs w:val="28"/>
        </w:rPr>
        <w:t>Luật viên chức năm 2010</w:t>
      </w:r>
      <w:r w:rsidRPr="00452673">
        <w:rPr>
          <w:b/>
          <w:bCs/>
          <w:sz w:val="28"/>
          <w:szCs w:val="28"/>
        </w:rPr>
        <w:t xml:space="preserve"> quy định về viên chức như sau:</w:t>
      </w:r>
    </w:p>
    <w:p w:rsidR="00452673" w:rsidRPr="00452673" w:rsidRDefault="00452673" w:rsidP="00452673">
      <w:pPr>
        <w:spacing w:beforeLines="50" w:before="120" w:afterLines="50" w:after="120"/>
        <w:jc w:val="both"/>
        <w:rPr>
          <w:sz w:val="28"/>
          <w:szCs w:val="28"/>
        </w:rPr>
      </w:pPr>
      <w:r w:rsidRPr="00452673">
        <w:rPr>
          <w:sz w:val="28"/>
          <w:szCs w:val="28"/>
        </w:rPr>
        <w:t>Viên chức là công dân Việt Nam được tuyển dụng theo vị trí việc làm, làm việc tại đơn vị sự nghiệp công lập theo chế độ hợp đồng làm việc, hưởng lương từ quỹ lương của đơn vị sự nghiệp công lập theo quy định của pháp luật."</w:t>
      </w:r>
    </w:p>
    <w:p w:rsidR="00452673" w:rsidRPr="00452673" w:rsidRDefault="00452673" w:rsidP="00452673">
      <w:pPr>
        <w:spacing w:beforeLines="50" w:before="120" w:afterLines="50" w:after="120"/>
        <w:jc w:val="both"/>
        <w:rPr>
          <w:sz w:val="28"/>
          <w:szCs w:val="28"/>
        </w:rPr>
      </w:pPr>
      <w:r w:rsidRPr="00452673">
        <w:rPr>
          <w:sz w:val="28"/>
          <w:szCs w:val="28"/>
        </w:rPr>
        <w:t>Viên chức được bổ nhiệm vào một chức danh nghề nghiệp, chức vụ quản lý (trừ các chức vụ quy định là công chức). Viên chức là người thực hiện các công việc hoặc nhiệm vụ có yêu cầu về năng lực, kỹ năng chuyên môn, nghiệp vụ trong các đơn vị sự nghiệp công lập thuộc các lĩnh vực: giáo dục, đào tạo, y tế, khoa học, công nghệ, văn hóa, thể dục thể thao, du lịch, lao động - thương binh và xã hội, thông tin - truyền thông, tài nguyên môi trường, dịch vụ...</w:t>
      </w:r>
    </w:p>
    <w:p w:rsidR="00452673" w:rsidRPr="00452673" w:rsidRDefault="00452673" w:rsidP="00452673">
      <w:pPr>
        <w:spacing w:beforeLines="50" w:before="120" w:afterLines="50" w:after="120"/>
        <w:rPr>
          <w:b/>
          <w:bCs/>
          <w:sz w:val="28"/>
          <w:szCs w:val="28"/>
        </w:rPr>
      </w:pPr>
      <w:r w:rsidRPr="00452673">
        <w:rPr>
          <w:b/>
          <w:bCs/>
          <w:sz w:val="28"/>
          <w:szCs w:val="28"/>
        </w:rPr>
        <w:t>3. So sánh giữa viên chức và công chức</w:t>
      </w:r>
    </w:p>
    <w:tbl>
      <w:tblPr>
        <w:tblStyle w:val="TableGrid"/>
        <w:tblW w:w="0" w:type="auto"/>
        <w:tblInd w:w="0" w:type="dxa"/>
        <w:tblLayout w:type="fixed"/>
        <w:tblLook w:val="0000" w:firstRow="0" w:lastRow="0" w:firstColumn="0" w:lastColumn="0" w:noHBand="0" w:noVBand="0"/>
      </w:tblPr>
      <w:tblGrid>
        <w:gridCol w:w="2447"/>
        <w:gridCol w:w="3210"/>
        <w:gridCol w:w="3212"/>
      </w:tblGrid>
      <w:tr w:rsidR="00452673" w:rsidRPr="00452673" w:rsidTr="000B3F67">
        <w:tc>
          <w:tcPr>
            <w:tcW w:w="2447" w:type="dxa"/>
          </w:tcPr>
          <w:p w:rsidR="00452673" w:rsidRPr="00452673" w:rsidRDefault="00452673" w:rsidP="00452673">
            <w:pPr>
              <w:pStyle w:val="NormalWeb"/>
              <w:widowControl/>
              <w:spacing w:before="120" w:beforeAutospacing="0" w:after="120" w:afterAutospacing="0" w:line="300" w:lineRule="atLeast"/>
              <w:jc w:val="center"/>
              <w:rPr>
                <w:sz w:val="28"/>
                <w:szCs w:val="28"/>
              </w:rPr>
            </w:pPr>
          </w:p>
        </w:tc>
        <w:tc>
          <w:tcPr>
            <w:tcW w:w="3210" w:type="dxa"/>
          </w:tcPr>
          <w:p w:rsidR="00452673" w:rsidRPr="00452673" w:rsidRDefault="00452673" w:rsidP="000B3F67">
            <w:pPr>
              <w:pStyle w:val="NormalWeb"/>
              <w:widowControl/>
              <w:spacing w:before="120" w:beforeAutospacing="0" w:after="120" w:afterAutospacing="0" w:line="300" w:lineRule="atLeast"/>
              <w:jc w:val="center"/>
              <w:rPr>
                <w:b/>
                <w:bCs/>
                <w:sz w:val="28"/>
                <w:szCs w:val="28"/>
              </w:rPr>
            </w:pPr>
            <w:r w:rsidRPr="00452673">
              <w:rPr>
                <w:b/>
                <w:bCs/>
                <w:sz w:val="28"/>
                <w:szCs w:val="28"/>
              </w:rPr>
              <w:t>Công chức</w:t>
            </w:r>
          </w:p>
        </w:tc>
        <w:tc>
          <w:tcPr>
            <w:tcW w:w="3212" w:type="dxa"/>
          </w:tcPr>
          <w:p w:rsidR="00452673" w:rsidRPr="00452673" w:rsidRDefault="00452673" w:rsidP="000B3F67">
            <w:pPr>
              <w:pStyle w:val="NormalWeb"/>
              <w:widowControl/>
              <w:spacing w:before="120" w:beforeAutospacing="0" w:after="120" w:afterAutospacing="0" w:line="300" w:lineRule="atLeast"/>
              <w:jc w:val="center"/>
              <w:rPr>
                <w:b/>
                <w:bCs/>
                <w:sz w:val="28"/>
                <w:szCs w:val="28"/>
              </w:rPr>
            </w:pPr>
            <w:r w:rsidRPr="00452673">
              <w:rPr>
                <w:b/>
                <w:bCs/>
                <w:sz w:val="28"/>
                <w:szCs w:val="28"/>
              </w:rPr>
              <w:t>Viên chức</w:t>
            </w:r>
          </w:p>
        </w:tc>
      </w:tr>
      <w:tr w:rsidR="00452673" w:rsidRPr="00452673" w:rsidTr="000B3F67">
        <w:tc>
          <w:tcPr>
            <w:tcW w:w="2447" w:type="dxa"/>
          </w:tcPr>
          <w:p w:rsidR="00452673" w:rsidRPr="00452673" w:rsidRDefault="00452673" w:rsidP="00452673">
            <w:pPr>
              <w:pStyle w:val="NormalWeb"/>
              <w:widowControl/>
              <w:spacing w:before="120" w:beforeAutospacing="0" w:after="120" w:afterAutospacing="0" w:line="300" w:lineRule="atLeast"/>
              <w:jc w:val="center"/>
              <w:rPr>
                <w:sz w:val="28"/>
                <w:szCs w:val="28"/>
              </w:rPr>
            </w:pPr>
            <w:r w:rsidRPr="00452673">
              <w:rPr>
                <w:sz w:val="28"/>
                <w:szCs w:val="28"/>
              </w:rPr>
              <w:t>Nơi làm việc</w:t>
            </w:r>
          </w:p>
        </w:tc>
        <w:tc>
          <w:tcPr>
            <w:tcW w:w="3210" w:type="dxa"/>
          </w:tcPr>
          <w:p w:rsidR="00452673" w:rsidRPr="00452673" w:rsidRDefault="00452673" w:rsidP="00452673">
            <w:pPr>
              <w:pStyle w:val="NormalWeb"/>
              <w:widowControl/>
              <w:spacing w:before="120" w:beforeAutospacing="0" w:after="120" w:afterAutospacing="0" w:line="300" w:lineRule="atLeast"/>
              <w:jc w:val="left"/>
              <w:rPr>
                <w:sz w:val="28"/>
                <w:szCs w:val="28"/>
              </w:rPr>
            </w:pPr>
            <w:r w:rsidRPr="00452673">
              <w:rPr>
                <w:sz w:val="28"/>
                <w:szCs w:val="28"/>
              </w:rPr>
              <w:t>Cơ quan nhà nước, Tổ chức chính trị - xã hội</w:t>
            </w:r>
          </w:p>
        </w:tc>
        <w:tc>
          <w:tcPr>
            <w:tcW w:w="3212" w:type="dxa"/>
          </w:tcPr>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Đơn vị sự nghiệp công lập</w:t>
            </w:r>
          </w:p>
        </w:tc>
      </w:tr>
      <w:tr w:rsidR="00452673" w:rsidRPr="00452673" w:rsidTr="000B3F67">
        <w:tc>
          <w:tcPr>
            <w:tcW w:w="2447" w:type="dxa"/>
          </w:tcPr>
          <w:p w:rsidR="00452673" w:rsidRPr="00452673" w:rsidRDefault="00452673" w:rsidP="00452673">
            <w:pPr>
              <w:pStyle w:val="NormalWeb"/>
              <w:widowControl/>
              <w:spacing w:before="120" w:beforeAutospacing="0" w:after="120" w:afterAutospacing="0" w:line="300" w:lineRule="atLeast"/>
              <w:jc w:val="center"/>
              <w:rPr>
                <w:sz w:val="28"/>
                <w:szCs w:val="28"/>
              </w:rPr>
            </w:pPr>
            <w:r w:rsidRPr="00452673">
              <w:rPr>
                <w:sz w:val="28"/>
                <w:szCs w:val="28"/>
              </w:rPr>
              <w:lastRenderedPageBreak/>
              <w:t>Công tác tuyển dụng</w:t>
            </w:r>
          </w:p>
        </w:tc>
        <w:tc>
          <w:tcPr>
            <w:tcW w:w="3210" w:type="dxa"/>
          </w:tcPr>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 Căn cứ vào yêu cầu nhiệm vụ, vị trí việc làm và chỉ tiêu biên chế.</w:t>
            </w:r>
          </w:p>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 Thực hiện thông qua thi tuyển và xét tuyển trong trường hợp đặc biệt theo Điều 36 Luật Cán bộ Công chức 2008.</w:t>
            </w:r>
          </w:p>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 Hình thức, nội dung thi tuyển công chức phải phù hợp với ngành, nghề, bảo đảm lựa chọn được những người có phẩm chất, trình độ và năng lực đáp ứng yêu cầu tuyển dụng.</w:t>
            </w:r>
          </w:p>
        </w:tc>
        <w:tc>
          <w:tcPr>
            <w:tcW w:w="3212" w:type="dxa"/>
          </w:tcPr>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 Căn cứ vào nhu cầu công việc, vị trí việc làm, tiêu chuẩn chức danh nghề nghiệp và quỹ tiền lương của đơn vị sự nghiệp công lập</w:t>
            </w:r>
          </w:p>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 Thực hiện thông qua thi tuyển hoặc xét tuyển.</w:t>
            </w:r>
          </w:p>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 Bảo đảm tính cạnh tranh, công khai, minh bạch.</w:t>
            </w:r>
          </w:p>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 Căn cứ vào kết quả tuyển dụng, người đứng đầu đơn vị sự nghiệp công lập ký kết hợp đồng làm việc với người trúng tuyển vào viên chức.</w:t>
            </w:r>
          </w:p>
        </w:tc>
      </w:tr>
      <w:tr w:rsidR="00452673" w:rsidRPr="00452673" w:rsidTr="000B3F67">
        <w:tc>
          <w:tcPr>
            <w:tcW w:w="2447" w:type="dxa"/>
          </w:tcPr>
          <w:p w:rsidR="00452673" w:rsidRPr="00452673" w:rsidRDefault="00452673" w:rsidP="00452673">
            <w:pPr>
              <w:pStyle w:val="NormalWeb"/>
              <w:widowControl/>
              <w:spacing w:before="120" w:beforeAutospacing="0" w:after="120" w:afterAutospacing="0" w:line="300" w:lineRule="atLeast"/>
              <w:jc w:val="center"/>
              <w:rPr>
                <w:sz w:val="28"/>
                <w:szCs w:val="28"/>
              </w:rPr>
            </w:pPr>
            <w:r w:rsidRPr="00452673">
              <w:rPr>
                <w:sz w:val="28"/>
                <w:szCs w:val="28"/>
              </w:rPr>
              <w:t>Tính chất nghề nghiệp</w:t>
            </w:r>
          </w:p>
        </w:tc>
        <w:tc>
          <w:tcPr>
            <w:tcW w:w="3210" w:type="dxa"/>
          </w:tcPr>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Hoạt động công vụ và quản lý nhà nước.</w:t>
            </w:r>
          </w:p>
        </w:tc>
        <w:tc>
          <w:tcPr>
            <w:tcW w:w="3212" w:type="dxa"/>
          </w:tcPr>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Hoạt động nghề nghiệp, chuyên môn</w:t>
            </w:r>
          </w:p>
        </w:tc>
      </w:tr>
      <w:tr w:rsidR="00452673" w:rsidRPr="00452673" w:rsidTr="000B3F67">
        <w:tc>
          <w:tcPr>
            <w:tcW w:w="2447" w:type="dxa"/>
          </w:tcPr>
          <w:p w:rsidR="00452673" w:rsidRPr="00452673" w:rsidRDefault="00452673" w:rsidP="00452673">
            <w:pPr>
              <w:pStyle w:val="NormalWeb"/>
              <w:widowControl/>
              <w:spacing w:before="120" w:beforeAutospacing="0" w:after="120" w:afterAutospacing="0" w:line="300" w:lineRule="atLeast"/>
              <w:jc w:val="center"/>
              <w:rPr>
                <w:sz w:val="28"/>
                <w:szCs w:val="28"/>
              </w:rPr>
            </w:pPr>
            <w:r w:rsidRPr="00452673">
              <w:rPr>
                <w:sz w:val="28"/>
                <w:szCs w:val="28"/>
              </w:rPr>
              <w:t>Nguồn lương</w:t>
            </w:r>
          </w:p>
        </w:tc>
        <w:tc>
          <w:tcPr>
            <w:tcW w:w="3210" w:type="dxa"/>
          </w:tcPr>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Ngân sách nhà nước hoặc quỹ lương của Đơn vị sự nghiệp công lập.</w:t>
            </w:r>
          </w:p>
        </w:tc>
        <w:tc>
          <w:tcPr>
            <w:tcW w:w="3212" w:type="dxa"/>
          </w:tcPr>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Viên chức là từ quỹ lương của đơn vị sự nghiệp công lập.</w:t>
            </w:r>
          </w:p>
        </w:tc>
      </w:tr>
      <w:tr w:rsidR="00452673" w:rsidRPr="00452673" w:rsidTr="000B3F67">
        <w:tc>
          <w:tcPr>
            <w:tcW w:w="2447" w:type="dxa"/>
          </w:tcPr>
          <w:p w:rsidR="00452673" w:rsidRPr="00452673" w:rsidRDefault="00452673" w:rsidP="00452673">
            <w:pPr>
              <w:pStyle w:val="NormalWeb"/>
              <w:widowControl/>
              <w:spacing w:before="120" w:beforeAutospacing="0" w:after="120" w:afterAutospacing="0" w:line="300" w:lineRule="atLeast"/>
              <w:jc w:val="center"/>
              <w:rPr>
                <w:sz w:val="28"/>
                <w:szCs w:val="28"/>
              </w:rPr>
            </w:pPr>
            <w:r w:rsidRPr="00452673">
              <w:rPr>
                <w:sz w:val="28"/>
                <w:szCs w:val="28"/>
              </w:rPr>
              <w:t>Chế độ làm việc</w:t>
            </w:r>
          </w:p>
        </w:tc>
        <w:tc>
          <w:tcPr>
            <w:tcW w:w="3210" w:type="dxa"/>
          </w:tcPr>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Bổ nhiệm vào ngạch, chức vụ, chức danh</w:t>
            </w:r>
          </w:p>
        </w:tc>
        <w:tc>
          <w:tcPr>
            <w:tcW w:w="3212" w:type="dxa"/>
          </w:tcPr>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Phân hạng theo chế độ hợp đồng</w:t>
            </w:r>
          </w:p>
        </w:tc>
      </w:tr>
      <w:tr w:rsidR="00452673" w:rsidRPr="00452673" w:rsidTr="000B3F67">
        <w:tc>
          <w:tcPr>
            <w:tcW w:w="2447" w:type="dxa"/>
          </w:tcPr>
          <w:p w:rsidR="00452673" w:rsidRPr="00452673" w:rsidRDefault="00452673" w:rsidP="00452673">
            <w:pPr>
              <w:pStyle w:val="NormalWeb"/>
              <w:widowControl/>
              <w:spacing w:before="120" w:beforeAutospacing="0" w:after="120" w:afterAutospacing="0" w:line="300" w:lineRule="atLeast"/>
              <w:jc w:val="center"/>
              <w:rPr>
                <w:sz w:val="28"/>
                <w:szCs w:val="28"/>
              </w:rPr>
            </w:pPr>
            <w:r w:rsidRPr="00452673">
              <w:rPr>
                <w:sz w:val="28"/>
                <w:szCs w:val="28"/>
              </w:rPr>
              <w:t>Bảo hiểm xã hội</w:t>
            </w:r>
          </w:p>
        </w:tc>
        <w:tc>
          <w:tcPr>
            <w:tcW w:w="3210" w:type="dxa"/>
          </w:tcPr>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Không phải đóng bảo hiểm thất nghiệp</w:t>
            </w:r>
          </w:p>
        </w:tc>
        <w:tc>
          <w:tcPr>
            <w:tcW w:w="3212" w:type="dxa"/>
          </w:tcPr>
          <w:p w:rsidR="00452673" w:rsidRPr="00452673" w:rsidRDefault="00452673" w:rsidP="000B3F67">
            <w:pPr>
              <w:pStyle w:val="NormalWeb"/>
              <w:widowControl/>
              <w:spacing w:before="120" w:beforeAutospacing="0" w:after="120" w:afterAutospacing="0" w:line="300" w:lineRule="atLeast"/>
              <w:rPr>
                <w:sz w:val="28"/>
                <w:szCs w:val="28"/>
              </w:rPr>
            </w:pPr>
            <w:r w:rsidRPr="00452673">
              <w:rPr>
                <w:sz w:val="28"/>
                <w:szCs w:val="28"/>
              </w:rPr>
              <w:t>Phải đóng bảo hiểm thất nghiệp</w:t>
            </w:r>
          </w:p>
        </w:tc>
      </w:tr>
    </w:tbl>
    <w:p w:rsidR="00452673" w:rsidRPr="00452673" w:rsidRDefault="00452673" w:rsidP="00452673">
      <w:pPr>
        <w:pStyle w:val="NormalWeb"/>
        <w:numPr>
          <w:ilvl w:val="0"/>
          <w:numId w:val="1"/>
        </w:numPr>
        <w:spacing w:before="120" w:beforeAutospacing="0" w:after="120" w:afterAutospacing="0" w:line="300" w:lineRule="atLeast"/>
        <w:rPr>
          <w:b/>
          <w:bCs/>
          <w:sz w:val="28"/>
          <w:szCs w:val="28"/>
        </w:rPr>
      </w:pPr>
      <w:r w:rsidRPr="00452673">
        <w:rPr>
          <w:b/>
          <w:bCs/>
          <w:sz w:val="28"/>
          <w:szCs w:val="28"/>
        </w:rPr>
        <w:t>Hiệu trưởng là công chức hay viên chức</w:t>
      </w:r>
    </w:p>
    <w:p w:rsidR="00452673" w:rsidRDefault="00452673" w:rsidP="00452673">
      <w:pPr>
        <w:spacing w:beforeLines="50" w:before="120" w:afterLines="50" w:after="120"/>
        <w:jc w:val="both"/>
        <w:rPr>
          <w:sz w:val="28"/>
          <w:szCs w:val="28"/>
        </w:rPr>
      </w:pPr>
      <w:r w:rsidRPr="00452673">
        <w:rPr>
          <w:sz w:val="28"/>
          <w:szCs w:val="28"/>
        </w:rPr>
        <w:t xml:space="preserve">Theo quy định tại Điều 2, </w:t>
      </w:r>
      <w:r w:rsidRPr="00452673">
        <w:rPr>
          <w:sz w:val="28"/>
          <w:szCs w:val="28"/>
        </w:rPr>
        <w:t>Nghị định 06/2010/NĐ-CP</w:t>
      </w:r>
      <w:r w:rsidRPr="00452673">
        <w:rPr>
          <w:sz w:val="28"/>
          <w:szCs w:val="28"/>
        </w:rPr>
        <w:t xml:space="preserve"> ngày 25/1/2010 của Chính phủ quy định những người là công chức nếu là công dân Việt Nam, được tuyển dụng, bổ nhiệm vào ngạch, chức vụ, chức danh, trong biên chế, hưởng lương từ ngân sách nhà nước hoặc được bảo đảm từ quỹ lương của đơn vị sự nghiệp công lập theo quy định của pháp luật, làm việc trong các cơ quan, tổ chức, đơn vị quy định tại Nghị định này.</w:t>
      </w:r>
    </w:p>
    <w:p w:rsidR="00452673" w:rsidRDefault="00452673">
      <w:pPr>
        <w:widowControl/>
        <w:spacing w:after="160" w:line="259" w:lineRule="auto"/>
        <w:rPr>
          <w:sz w:val="28"/>
          <w:szCs w:val="28"/>
        </w:rPr>
      </w:pPr>
      <w:r>
        <w:rPr>
          <w:sz w:val="28"/>
          <w:szCs w:val="28"/>
        </w:rPr>
        <w:br w:type="page"/>
      </w:r>
    </w:p>
    <w:p w:rsidR="00452673" w:rsidRPr="00452673" w:rsidRDefault="00452673" w:rsidP="00452673">
      <w:pPr>
        <w:spacing w:beforeLines="50" w:before="120" w:afterLines="50" w:after="120"/>
        <w:jc w:val="both"/>
        <w:rPr>
          <w:sz w:val="28"/>
          <w:szCs w:val="28"/>
        </w:rPr>
      </w:pPr>
      <w:bookmarkStart w:id="0" w:name="_GoBack"/>
      <w:bookmarkEnd w:id="0"/>
    </w:p>
    <w:p w:rsidR="00452673" w:rsidRPr="00452673" w:rsidRDefault="00452673" w:rsidP="00452673">
      <w:pPr>
        <w:spacing w:beforeLines="50" w:before="120" w:afterLines="50" w:after="120"/>
        <w:jc w:val="both"/>
        <w:rPr>
          <w:sz w:val="28"/>
          <w:szCs w:val="28"/>
        </w:rPr>
      </w:pPr>
      <w:r w:rsidRPr="00452673">
        <w:rPr>
          <w:sz w:val="28"/>
          <w:szCs w:val="28"/>
        </w:rPr>
        <w:t>Theo đó, công chức trong bộ máy lãnh đạo, quản lý đơn vị sự nghiệp công lập được quy định tại khoản 1, khoản 4, khoản 5, Điều 11 Nghị định nêu trên như sau:</w:t>
      </w:r>
    </w:p>
    <w:p w:rsidR="00452673" w:rsidRPr="00452673" w:rsidRDefault="00452673" w:rsidP="00452673">
      <w:pPr>
        <w:spacing w:beforeLines="50" w:before="120" w:afterLines="50" w:after="120"/>
        <w:jc w:val="both"/>
        <w:rPr>
          <w:sz w:val="28"/>
          <w:szCs w:val="28"/>
        </w:rPr>
      </w:pPr>
      <w:r w:rsidRPr="00452673">
        <w:rPr>
          <w:sz w:val="28"/>
          <w:szCs w:val="28"/>
        </w:rPr>
        <w:t>Đơn vị sự nghiệp công lập là các tổ chức được cơ quan có thẩm quyền của Đảng, cơ quan Nhà nước và tổ chức chính trị – xã hội thành lập và quản lý theo quy định của pháp luật, có tư cách pháp nhân, con dấu, tài khoản, hoạt động trong các lĩnh vực giáo dục, đào tạo, y tế, nghiên cứu khoa học, văn hóa, thể dục thể thao, du lịch, lao động – thương binh và xã hội, thông tin truyền thông và các lĩnh vực sự nghiệp khác được pháp luật quy định.</w:t>
      </w:r>
    </w:p>
    <w:p w:rsidR="00452673" w:rsidRPr="00452673" w:rsidRDefault="00452673" w:rsidP="00452673">
      <w:pPr>
        <w:spacing w:beforeLines="50" w:before="120" w:afterLines="50" w:after="120"/>
        <w:jc w:val="both"/>
        <w:rPr>
          <w:sz w:val="28"/>
          <w:szCs w:val="28"/>
        </w:rPr>
      </w:pPr>
      <w:r w:rsidRPr="00452673">
        <w:rPr>
          <w:sz w:val="28"/>
          <w:szCs w:val="28"/>
        </w:rPr>
        <w:t>Công chức là người đứng đầu đơn vị sự nghiệp công lập được ngân sách nhà nước cấp kinh phí hoạt động thuộc Tổng cục, Cục và tương đương trực thuộc Bộ, cơ quan ngang Bộ; tỉnh ủy, thành ủy; Ủy ban nhân dân cấp tỉnh; tổ chức chính trị – xã hội cấp tỉnh; huyện ủy, quận ủy, thị ủy, thành ủy thuộc tỉnh ủy; cơ quan chuyên môn thuộc Ủy ban nhân dân cấp tỉnh, cơ quan chuyên môn thuộc Ủy ban nhân dân cấp huyện.</w:t>
      </w:r>
    </w:p>
    <w:p w:rsidR="00452673" w:rsidRPr="00452673" w:rsidRDefault="00452673" w:rsidP="00452673">
      <w:pPr>
        <w:spacing w:beforeLines="50" w:before="120" w:afterLines="50" w:after="120"/>
        <w:jc w:val="both"/>
        <w:rPr>
          <w:sz w:val="28"/>
          <w:szCs w:val="28"/>
        </w:rPr>
      </w:pPr>
      <w:r w:rsidRPr="00452673">
        <w:rPr>
          <w:sz w:val="28"/>
          <w:szCs w:val="28"/>
        </w:rPr>
        <w:t>Công chức là người giữ các vị trí việc làm gắn với nhiệm vụ quản lý nhà nước trong đơn vị sự nghiệp công lập được giao thực hiện nhiệm vụ quản lý nhà nước.</w:t>
      </w:r>
    </w:p>
    <w:p w:rsidR="00452673" w:rsidRPr="00452673" w:rsidRDefault="00452673" w:rsidP="00452673">
      <w:pPr>
        <w:spacing w:beforeLines="50" w:before="120" w:afterLines="50" w:after="120"/>
        <w:jc w:val="both"/>
        <w:rPr>
          <w:sz w:val="28"/>
          <w:szCs w:val="28"/>
        </w:rPr>
      </w:pPr>
      <w:r w:rsidRPr="00452673">
        <w:rPr>
          <w:sz w:val="28"/>
          <w:szCs w:val="28"/>
        </w:rPr>
        <w:t>Vì vậy, hiệu trưởng nhà trường là công chức nếu nhà trường đó là đơn vị sự nghiệp công lập được ngân sách nhà nước cấp kinh phí hoạt động thuộc Tổng cục, Cục và tương đương trực thuộc Bộ, cơ quan ngang Bộ; tỉnh ủy, thành ủy; Ủy ban nhân dân cấp tỉnh; tổ chức chính trị – xã hội cấp tỉnh; huyện ủy, quận ủy, thị ủy, thành ủy thuộc tỉnh ủy; cơ quan chuyên môn thuộc Ủy ban nhân dân cấp tỉnh, cơ quan chuyên môn thuộc Ủy ban nhân dân cấp huyện.</w:t>
      </w:r>
    </w:p>
    <w:p w:rsidR="00452673" w:rsidRPr="00452673" w:rsidRDefault="00452673" w:rsidP="00452673">
      <w:pPr>
        <w:numPr>
          <w:ilvl w:val="0"/>
          <w:numId w:val="1"/>
        </w:numPr>
        <w:spacing w:beforeLines="50" w:before="120" w:afterLines="50" w:after="120"/>
        <w:jc w:val="both"/>
        <w:rPr>
          <w:b/>
          <w:bCs/>
          <w:sz w:val="28"/>
          <w:szCs w:val="28"/>
        </w:rPr>
      </w:pPr>
      <w:r w:rsidRPr="00452673">
        <w:rPr>
          <w:b/>
          <w:bCs/>
          <w:sz w:val="28"/>
          <w:szCs w:val="28"/>
        </w:rPr>
        <w:t>Giáo viên là công chức hay viên chức</w:t>
      </w:r>
    </w:p>
    <w:p w:rsidR="00452673" w:rsidRPr="00452673" w:rsidRDefault="00452673" w:rsidP="00452673">
      <w:pPr>
        <w:spacing w:beforeLines="50" w:before="120" w:afterLines="50" w:after="120"/>
        <w:jc w:val="both"/>
        <w:rPr>
          <w:sz w:val="28"/>
          <w:szCs w:val="28"/>
        </w:rPr>
      </w:pPr>
      <w:r w:rsidRPr="00452673">
        <w:rPr>
          <w:sz w:val="28"/>
          <w:szCs w:val="28"/>
        </w:rPr>
        <w:t>Theo luật viên chức hiện hành thì giáo viên tại các trường công lập là viên chức, còn những người giữ cương vị lãnh đạo có chức vụ, chức danh sẽ là công chức.</w:t>
      </w:r>
    </w:p>
    <w:p w:rsidR="00452673" w:rsidRPr="00452673" w:rsidRDefault="00452673" w:rsidP="00452673">
      <w:pPr>
        <w:spacing w:beforeLines="50" w:before="120" w:afterLines="50" w:after="120"/>
        <w:jc w:val="both"/>
        <w:rPr>
          <w:sz w:val="28"/>
          <w:szCs w:val="28"/>
        </w:rPr>
      </w:pPr>
      <w:r w:rsidRPr="00452673">
        <w:rPr>
          <w:sz w:val="28"/>
          <w:szCs w:val="28"/>
        </w:rPr>
        <w:t xml:space="preserve"> </w:t>
      </w:r>
    </w:p>
    <w:p w:rsidR="00D62FEC" w:rsidRPr="00452673" w:rsidRDefault="00D62FEC">
      <w:pPr>
        <w:rPr>
          <w:sz w:val="28"/>
          <w:szCs w:val="28"/>
        </w:rPr>
      </w:pPr>
    </w:p>
    <w:sectPr w:rsidR="00D62FEC" w:rsidRPr="00452673">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542E1"/>
    <w:multiLevelType w:val="singleLevel"/>
    <w:tmpl w:val="5B7542E1"/>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73"/>
    <w:rsid w:val="00452673"/>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1D477-468A-4B50-BEB5-C510346D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673"/>
    <w:pPr>
      <w:widowControl w:val="0"/>
      <w:spacing w:after="0" w:line="240" w:lineRule="auto"/>
    </w:pPr>
    <w:rPr>
      <w:rFonts w:eastAsia="SimSu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2673"/>
    <w:rPr>
      <w:color w:val="0000FF"/>
      <w:u w:val="single"/>
    </w:rPr>
  </w:style>
  <w:style w:type="paragraph" w:styleId="NormalWeb">
    <w:name w:val="Normal (Web)"/>
    <w:rsid w:val="00452673"/>
    <w:pPr>
      <w:spacing w:before="100" w:beforeAutospacing="1" w:after="100" w:afterAutospacing="1" w:line="240" w:lineRule="auto"/>
    </w:pPr>
    <w:rPr>
      <w:rFonts w:eastAsia="SimSun" w:cs="Times New Roman"/>
      <w:sz w:val="24"/>
      <w:szCs w:val="24"/>
      <w:lang w:eastAsia="zh-CN"/>
    </w:rPr>
  </w:style>
  <w:style w:type="table" w:styleId="TableGrid">
    <w:name w:val="Table Grid"/>
    <w:basedOn w:val="TableNormal"/>
    <w:rsid w:val="00452673"/>
    <w:pPr>
      <w:widowControl w:val="0"/>
      <w:spacing w:after="0" w:line="240" w:lineRule="auto"/>
      <w:jc w:val="both"/>
    </w:pPr>
    <w:rPr>
      <w:rFonts w:eastAsia="SimSu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801</Words>
  <Characters>4570</Characters>
  <Application>Microsoft Office Word</Application>
  <DocSecurity>0</DocSecurity>
  <Lines>38</Lines>
  <Paragraphs>10</Paragraphs>
  <ScaleCrop>false</ScaleCrop>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2020-04-14T08:15:00Z</dcterms:created>
  <dcterms:modified xsi:type="dcterms:W3CDTF">2020-04-14T08:19:00Z</dcterms:modified>
</cp:coreProperties>
</file>