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2DA5A" w14:textId="77777777" w:rsidR="000B21BA" w:rsidRDefault="00000000">
      <w:pPr>
        <w:spacing w:after="0" w:line="360" w:lineRule="auto"/>
        <w:jc w:val="center"/>
        <w:rPr>
          <w:rFonts w:ascii="Times New Roman" w:eastAsia="Times New Roman" w:hAnsi="Times New Roman" w:cs="Times New Roman"/>
          <w:b/>
          <w:color w:val="EE0000"/>
          <w:sz w:val="28"/>
          <w:szCs w:val="28"/>
        </w:rPr>
      </w:pPr>
      <w:r>
        <w:rPr>
          <w:rFonts w:ascii="Times New Roman" w:eastAsia="Times New Roman" w:hAnsi="Times New Roman" w:cs="Times New Roman"/>
          <w:b/>
          <w:color w:val="EE0000"/>
          <w:sz w:val="28"/>
          <w:szCs w:val="28"/>
        </w:rPr>
        <w:t>Đăng ký hộ kinh doanh dạy thêm năm 2025 có phải đóng BHXH?</w:t>
      </w:r>
    </w:p>
    <w:p w14:paraId="748F7B45" w14:textId="21907D34" w:rsidR="000B21BA" w:rsidRDefault="00AB2E24">
      <w:pPr>
        <w:spacing w:after="0"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lang w:val="en-SG"/>
        </w:rPr>
        <w:t>“Từ 01/7/2025, hộ kinh doanh dạy thêm có bắt buộc đăng ký đóng bảo hiểm xã hội?” là câu hỏi được rất nhiều thầy, cô giáo và các hộ kinh doanh dạy thêm quan tâm</w:t>
      </w:r>
      <w:r w:rsidR="00000000">
        <w:rPr>
          <w:rFonts w:ascii="Times New Roman" w:eastAsia="Times New Roman" w:hAnsi="Times New Roman" w:cs="Times New Roman"/>
          <w:i/>
          <w:sz w:val="28"/>
          <w:szCs w:val="28"/>
        </w:rPr>
        <w:t>.</w:t>
      </w:r>
      <w:r>
        <w:rPr>
          <w:rFonts w:ascii="Times New Roman" w:eastAsia="Times New Roman" w:hAnsi="Times New Roman" w:cs="Times New Roman"/>
          <w:i/>
          <w:sz w:val="28"/>
          <w:szCs w:val="28"/>
          <w:lang w:val="en-SG"/>
        </w:rPr>
        <w:t xml:space="preserve"> </w:t>
      </w:r>
      <w:r w:rsidR="00000000">
        <w:rPr>
          <w:rFonts w:ascii="Times New Roman" w:eastAsia="Times New Roman" w:hAnsi="Times New Roman" w:cs="Times New Roman"/>
          <w:i/>
          <w:sz w:val="28"/>
          <w:szCs w:val="28"/>
        </w:rPr>
        <w:t>Trong bài viết, Vietjack sẽ cung cấp thông tin chi tiết để trả lời cho câu hỏi: “Đăng ký hộ kinh doanh dạy thêm năm 2025 có phải đóng BHXH?”. Hãy cùng theo dõi nhé!</w:t>
      </w:r>
    </w:p>
    <w:p w14:paraId="3F78F855" w14:textId="22F9BD57" w:rsidR="000B21BA" w:rsidRDefault="00AB2E24">
      <w:pPr>
        <w:spacing w:after="0" w:line="360" w:lineRule="auto"/>
        <w:jc w:val="center"/>
        <w:rPr>
          <w:rFonts w:ascii="Times New Roman" w:eastAsia="Times New Roman" w:hAnsi="Times New Roman" w:cs="Times New Roman"/>
          <w:i/>
          <w:sz w:val="28"/>
          <w:szCs w:val="28"/>
        </w:rPr>
      </w:pPr>
      <w:r>
        <w:rPr>
          <w:noProof/>
        </w:rPr>
        <w:drawing>
          <wp:inline distT="0" distB="0" distL="0" distR="0" wp14:anchorId="0E16A3F5" wp14:editId="197F6BC4">
            <wp:extent cx="6333490" cy="3324860"/>
            <wp:effectExtent l="0" t="0" r="0" b="8890"/>
            <wp:docPr id="1139431236" name="Picture 1" descr="Hướng dẫn chi tiết thủ tục đăng ký hộ kinh doanh về dạy thê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ướng dẫn chi tiết thủ tục đăng ký hộ kinh doanh về dạy thê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33490" cy="3324860"/>
                    </a:xfrm>
                    <a:prstGeom prst="rect">
                      <a:avLst/>
                    </a:prstGeom>
                    <a:noFill/>
                    <a:ln>
                      <a:noFill/>
                    </a:ln>
                  </pic:spPr>
                </pic:pic>
              </a:graphicData>
            </a:graphic>
          </wp:inline>
        </w:drawing>
      </w:r>
    </w:p>
    <w:p w14:paraId="1EDBAEDF" w14:textId="5A6DE70A" w:rsidR="000B21BA" w:rsidRPr="00AB2E24" w:rsidRDefault="00000000">
      <w:pPr>
        <w:spacing w:after="0" w:line="360" w:lineRule="auto"/>
        <w:jc w:val="center"/>
        <w:rPr>
          <w:rFonts w:ascii="Times New Roman" w:eastAsia="Times New Roman" w:hAnsi="Times New Roman" w:cs="Times New Roman"/>
          <w:i/>
          <w:sz w:val="28"/>
          <w:szCs w:val="28"/>
          <w:lang w:val="en-SG"/>
        </w:rPr>
      </w:pPr>
      <w:r>
        <w:rPr>
          <w:rFonts w:ascii="Times New Roman" w:eastAsia="Times New Roman" w:hAnsi="Times New Roman" w:cs="Times New Roman"/>
          <w:i/>
          <w:sz w:val="28"/>
          <w:szCs w:val="28"/>
        </w:rPr>
        <w:t>Hộ kinh doanh dạy thêm có bắt buộc đăng ký đóng BHXH?</w:t>
      </w:r>
      <w:r w:rsidR="00AB2E24">
        <w:rPr>
          <w:rFonts w:ascii="Times New Roman" w:eastAsia="Times New Roman" w:hAnsi="Times New Roman" w:cs="Times New Roman"/>
          <w:i/>
          <w:sz w:val="28"/>
          <w:szCs w:val="28"/>
          <w:lang w:val="en-SG"/>
        </w:rPr>
        <w:t xml:space="preserve"> Ảnh minh họa</w:t>
      </w:r>
    </w:p>
    <w:p w14:paraId="6CD05A41" w14:textId="77777777" w:rsidR="000B21BA" w:rsidRDefault="00000000">
      <w:pPr>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 Từ 01/7/2025, hộ kinh doanh dạy thêm có bắt buộc đăng ký đóng BHXH?</w:t>
      </w:r>
    </w:p>
    <w:p w14:paraId="10236721" w14:textId="77777777" w:rsidR="000B21BA" w:rsidRDefault="00000000">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Từ 01/7/2025, hộ kinh doanh dạy thêm nói chung và chủ hộ kinh doanh dạy thêm đều thuộc đối tượng bắt buộc phải đăng ký tham gia bảo hiểm xã hội (BHXH).</w:t>
      </w:r>
    </w:p>
    <w:p w14:paraId="393805AD" w14:textId="77777777" w:rsidR="000B21BA" w:rsidRDefault="00000000">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Điều này được quy định tại khoản điểm m khoản 1, khoản 3 Điều 2 </w:t>
      </w:r>
      <w:hyperlink r:id="rId6">
        <w:r>
          <w:rPr>
            <w:rFonts w:ascii="Times New Roman" w:eastAsia="Times New Roman" w:hAnsi="Times New Roman" w:cs="Times New Roman"/>
            <w:color w:val="000000"/>
            <w:sz w:val="28"/>
            <w:szCs w:val="28"/>
          </w:rPr>
          <w:t>Luật Bảo hiểm xã hội 2024</w:t>
        </w:r>
      </w:hyperlink>
      <w:r>
        <w:rPr>
          <w:rFonts w:ascii="Times New Roman" w:eastAsia="Times New Roman" w:hAnsi="Times New Roman" w:cs="Times New Roman"/>
          <w:color w:val="000000"/>
          <w:sz w:val="28"/>
          <w:szCs w:val="28"/>
        </w:rPr>
        <w:t> như sau:</w:t>
      </w:r>
    </w:p>
    <w:p w14:paraId="353E8987" w14:textId="77777777" w:rsidR="000B21BA" w:rsidRDefault="00000000">
      <w:pPr>
        <w:spacing w:after="0" w:line="36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b/>
          <w:i/>
          <w:color w:val="000000"/>
          <w:sz w:val="28"/>
          <w:szCs w:val="28"/>
        </w:rPr>
        <w:t>Điều 2.</w:t>
      </w:r>
      <w:r>
        <w:rPr>
          <w:rFonts w:ascii="Times New Roman" w:eastAsia="Times New Roman" w:hAnsi="Times New Roman" w:cs="Times New Roman"/>
          <w:i/>
          <w:color w:val="000000"/>
          <w:sz w:val="28"/>
          <w:szCs w:val="28"/>
        </w:rPr>
        <w:t> Đối tượng tham gia bảo hiểm xã hội bắt buộc và bảo hiểm xã hội tự nguyện</w:t>
      </w:r>
    </w:p>
    <w:p w14:paraId="3B2EC50D" w14:textId="77777777" w:rsidR="000B21BA" w:rsidRDefault="00000000">
      <w:pPr>
        <w:spacing w:after="0" w:line="36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1</w:t>
      </w:r>
      <w:r>
        <w:rPr>
          <w:rFonts w:ascii="Times New Roman" w:eastAsia="Times New Roman" w:hAnsi="Times New Roman" w:cs="Times New Roman"/>
          <w:i/>
          <w:sz w:val="28"/>
          <w:szCs w:val="28"/>
        </w:rPr>
        <w:t>)</w:t>
      </w:r>
      <w:r>
        <w:rPr>
          <w:rFonts w:ascii="Times New Roman" w:eastAsia="Times New Roman" w:hAnsi="Times New Roman" w:cs="Times New Roman"/>
          <w:i/>
          <w:color w:val="000000"/>
          <w:sz w:val="28"/>
          <w:szCs w:val="28"/>
        </w:rPr>
        <w:t xml:space="preserve"> Người lao động là công dân Việt Nam thuộc đối tượng tham gia bảo hiểm xã hội bắt buộc bao gồm:</w:t>
      </w:r>
    </w:p>
    <w:p w14:paraId="0C4A68BB" w14:textId="77777777" w:rsidR="000B21BA" w:rsidRDefault="00000000">
      <w:pPr>
        <w:spacing w:after="0" w:line="36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i/>
          <w:sz w:val="28"/>
          <w:szCs w:val="28"/>
        </w:rPr>
        <w:t>2)</w:t>
      </w:r>
      <w:r>
        <w:rPr>
          <w:rFonts w:ascii="Times New Roman" w:eastAsia="Times New Roman" w:hAnsi="Times New Roman" w:cs="Times New Roman"/>
          <w:i/>
          <w:color w:val="000000"/>
          <w:sz w:val="28"/>
          <w:szCs w:val="28"/>
        </w:rPr>
        <w:t> Chủ hộ kinh doanh của hộ kinh doanh có đăng ký kinh doanh tham gia theo quy định của Chính phủ;</w:t>
      </w:r>
    </w:p>
    <w:p w14:paraId="1DA07BB8" w14:textId="77777777" w:rsidR="000B21BA" w:rsidRDefault="00000000">
      <w:pPr>
        <w:spacing w:after="0" w:line="36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lastRenderedPageBreak/>
        <w:t>3</w:t>
      </w:r>
      <w:r>
        <w:rPr>
          <w:rFonts w:ascii="Times New Roman" w:eastAsia="Times New Roman" w:hAnsi="Times New Roman" w:cs="Times New Roman"/>
          <w:i/>
          <w:sz w:val="28"/>
          <w:szCs w:val="28"/>
        </w:rPr>
        <w:t>)</w:t>
      </w:r>
      <w:r>
        <w:rPr>
          <w:rFonts w:ascii="Times New Roman" w:eastAsia="Times New Roman" w:hAnsi="Times New Roman" w:cs="Times New Roman"/>
          <w:i/>
          <w:color w:val="000000"/>
          <w:sz w:val="28"/>
          <w:szCs w:val="28"/>
        </w:rPr>
        <w:t xml:space="preserve"> Người sử dụng lao động thuộc đối tượng tham gia bảo hiểm xã hội bắt buộc bao gồm cơ quan nhà nước, đơn vị sự nghiệp công lập; cơ quan, đơn vị, doanh nghiệp thuộc Quân đội nhân dân, Công an nhân dân và tổ chức cơ yếu; tổ chức chính trị, tổ chức chính trị - xã hội, tổ chức chính trị xã hội - nghề nghiệp, tổ chức xã hội - nghề nghiệp, tổ chức xã hội khác; cơ quan, tổ chức nước ngoài, tổ chức quốc tế hoạt động trên lãnh thổ Việt Nam; doanh nghiệp, tổ hợp tác, hợp tác xã, liên hiệp hợp tác xã, </w:t>
      </w:r>
      <w:r>
        <w:rPr>
          <w:rFonts w:ascii="Times New Roman" w:eastAsia="Times New Roman" w:hAnsi="Times New Roman" w:cs="Times New Roman"/>
          <w:b/>
          <w:i/>
          <w:color w:val="000000"/>
          <w:sz w:val="28"/>
          <w:szCs w:val="28"/>
        </w:rPr>
        <w:t xml:space="preserve">hộ </w:t>
      </w:r>
      <w:r>
        <w:rPr>
          <w:rFonts w:ascii="Times New Roman" w:eastAsia="Times New Roman" w:hAnsi="Times New Roman" w:cs="Times New Roman"/>
          <w:i/>
          <w:color w:val="000000"/>
          <w:sz w:val="28"/>
          <w:szCs w:val="28"/>
        </w:rPr>
        <w:t>kinh doanh, tổ chức khác và cá nhân có thuê mướn, sử dụng lao động theo hợp đồng lao động.</w:t>
      </w:r>
    </w:p>
    <w:p w14:paraId="24001391" w14:textId="31FB63EA" w:rsidR="00AB2E24" w:rsidRPr="00AB2E24" w:rsidRDefault="00000000">
      <w:pPr>
        <w:spacing w:after="0" w:line="360" w:lineRule="auto"/>
        <w:jc w:val="both"/>
        <w:rPr>
          <w:rFonts w:ascii="Times New Roman" w:eastAsia="Times New Roman" w:hAnsi="Times New Roman" w:cs="Times New Roman"/>
          <w:color w:val="000000"/>
          <w:sz w:val="28"/>
          <w:szCs w:val="28"/>
          <w:lang w:val="en-SG"/>
        </w:rPr>
      </w:pPr>
      <w:r>
        <w:rPr>
          <w:rFonts w:ascii="Times New Roman" w:eastAsia="Times New Roman" w:hAnsi="Times New Roman" w:cs="Times New Roman"/>
          <w:color w:val="000000"/>
          <w:sz w:val="28"/>
          <w:szCs w:val="28"/>
        </w:rPr>
        <w:t>Như vậy, cả chủ hộ kinh doanh và giáo viên dạy thêm ký hợp đồng lao động từ 01 tháng trở lên thuộc hộ kinh doanh đều thuộc đối tượng phải tham gia BHXH bắt buộc từ 01/7/2025.</w:t>
      </w:r>
    </w:p>
    <w:p w14:paraId="264F4461" w14:textId="77777777" w:rsidR="000B21BA" w:rsidRDefault="00000000">
      <w:pPr>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2. Mức đóng BHXH của hộ kinh doanh dạy thêm</w:t>
      </w:r>
    </w:p>
    <w:p w14:paraId="49FF0252" w14:textId="77777777" w:rsidR="000B21BA" w:rsidRDefault="00000000">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Từ 01/7/2025, Điều 32 Luật Bảo hiểm xã hội 2024 quy định tỷ lệ đóng BHXH năm 2025 như sau:</w:t>
      </w:r>
    </w:p>
    <w:p w14:paraId="5708EFC2" w14:textId="77777777" w:rsidR="000B21BA" w:rsidRDefault="00000000">
      <w:pPr>
        <w:spacing w:after="0" w:line="36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1. Tỷ lệ đóng bảo hiểm xã hội bắt buộc bao gồm:</w:t>
      </w:r>
    </w:p>
    <w:p w14:paraId="0CE2DBDE" w14:textId="77777777" w:rsidR="000B21BA" w:rsidRDefault="00000000">
      <w:pPr>
        <w:spacing w:after="0" w:line="36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a) 3% tiền lương làm căn cứ đóng bảo hiểm xã hội vào quỹ ốm đau và thai sản;</w:t>
      </w:r>
    </w:p>
    <w:p w14:paraId="761986D2" w14:textId="77777777" w:rsidR="000B21BA" w:rsidRDefault="00000000">
      <w:pPr>
        <w:spacing w:after="0" w:line="36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b) 22% tiền lương làm căn cứ đóng bảo hiểm xã hội vào quỹ hưu trí và tử tuất.</w:t>
      </w:r>
    </w:p>
    <w:p w14:paraId="4C5628D0" w14:textId="77777777" w:rsidR="000B21BA" w:rsidRDefault="00000000">
      <w:pPr>
        <w:spacing w:after="0" w:line="36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2. Tỷ lệ đóng bảo hiểm xã hội tự nguyện bằng 22% thu nhập làm căn cứ đóng bảo hiểm xã hội vào quỹ hưu trí và tử tuất.</w:t>
      </w:r>
    </w:p>
    <w:p w14:paraId="20689D97" w14:textId="77777777" w:rsidR="000B21BA" w:rsidRDefault="00000000">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Như vậy, căn cứ Điều 32, 33, 34 Luật Bảo hiểm xã hội 2024, Điều 4 </w:t>
      </w:r>
      <w:hyperlink r:id="rId7">
        <w:r>
          <w:rPr>
            <w:rFonts w:ascii="Times New Roman" w:eastAsia="Times New Roman" w:hAnsi="Times New Roman" w:cs="Times New Roman"/>
            <w:color w:val="000000"/>
            <w:sz w:val="28"/>
            <w:szCs w:val="28"/>
          </w:rPr>
          <w:t>Nghị định 58/2020/NĐ-CP</w:t>
        </w:r>
      </w:hyperlink>
      <w:r>
        <w:rPr>
          <w:rFonts w:ascii="Times New Roman" w:eastAsia="Times New Roman" w:hAnsi="Times New Roman" w:cs="Times New Roman"/>
          <w:color w:val="000000"/>
          <w:sz w:val="28"/>
          <w:szCs w:val="28"/>
        </w:rPr>
        <w:t> và </w:t>
      </w:r>
      <w:hyperlink r:id="rId8">
        <w:r>
          <w:rPr>
            <w:rFonts w:ascii="Times New Roman" w:eastAsia="Times New Roman" w:hAnsi="Times New Roman" w:cs="Times New Roman"/>
            <w:color w:val="000000"/>
            <w:sz w:val="28"/>
            <w:szCs w:val="28"/>
          </w:rPr>
          <w:t>Quyết định 595/QĐ-BHXH năm 2017</w:t>
        </w:r>
      </w:hyperlink>
      <w:r>
        <w:rPr>
          <w:rFonts w:ascii="Times New Roman" w:eastAsia="Times New Roman" w:hAnsi="Times New Roman" w:cs="Times New Roman"/>
          <w:color w:val="000000"/>
          <w:sz w:val="28"/>
          <w:szCs w:val="28"/>
        </w:rPr>
        <w:t> thì tỷ lệ đóng BHXH năm 2025 của chủ hộ kinh doanh và giáo viên thuộc hộ kinh doanh như sau:</w:t>
      </w:r>
    </w:p>
    <w:p w14:paraId="68725E27" w14:textId="3C5E63B4" w:rsidR="000B21BA" w:rsidRDefault="00000000">
      <w:pPr>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2.1</w:t>
      </w:r>
      <w:r w:rsidR="00AB2E24">
        <w:rPr>
          <w:rFonts w:ascii="Times New Roman" w:eastAsia="Times New Roman" w:hAnsi="Times New Roman" w:cs="Times New Roman"/>
          <w:b/>
          <w:color w:val="000000"/>
          <w:sz w:val="28"/>
          <w:szCs w:val="28"/>
          <w:lang w:val="en-SG"/>
        </w:rPr>
        <w:t>.</w:t>
      </w:r>
      <w:r>
        <w:rPr>
          <w:rFonts w:ascii="Times New Roman" w:eastAsia="Times New Roman" w:hAnsi="Times New Roman" w:cs="Times New Roman"/>
          <w:b/>
          <w:color w:val="000000"/>
          <w:sz w:val="28"/>
          <w:szCs w:val="28"/>
        </w:rPr>
        <w:t xml:space="preserve"> Trường hợp giáo viên là người Việt Nam</w:t>
      </w:r>
    </w:p>
    <w:tbl>
      <w:tblPr>
        <w:tblStyle w:val="a"/>
        <w:tblW w:w="5075" w:type="pct"/>
        <w:tblInd w:w="-150" w:type="dxa"/>
        <w:tblBorders>
          <w:top w:val="single" w:sz="6" w:space="0" w:color="000000"/>
          <w:left w:val="single" w:sz="6" w:space="0" w:color="000000"/>
          <w:bottom w:val="single" w:sz="6" w:space="0" w:color="000000"/>
          <w:right w:val="single" w:sz="6" w:space="0" w:color="000000"/>
        </w:tblBorders>
        <w:tblLook w:val="0400" w:firstRow="0" w:lastRow="0" w:firstColumn="0" w:lastColumn="0" w:noHBand="0" w:noVBand="1"/>
      </w:tblPr>
      <w:tblGrid>
        <w:gridCol w:w="634"/>
        <w:gridCol w:w="1035"/>
        <w:gridCol w:w="1643"/>
        <w:gridCol w:w="914"/>
        <w:gridCol w:w="916"/>
        <w:gridCol w:w="494"/>
        <w:gridCol w:w="970"/>
        <w:gridCol w:w="1671"/>
        <w:gridCol w:w="914"/>
        <w:gridCol w:w="914"/>
      </w:tblGrid>
      <w:tr w:rsidR="000B21BA" w14:paraId="46A9E87E" w14:textId="77777777" w:rsidTr="00AB2E24">
        <w:tc>
          <w:tcPr>
            <w:tcW w:w="2531" w:type="pct"/>
            <w:gridSpan w:val="5"/>
            <w:tcBorders>
              <w:top w:val="single" w:sz="6" w:space="0" w:color="000000"/>
              <w:left w:val="single" w:sz="6" w:space="0" w:color="000000"/>
              <w:bottom w:val="single" w:sz="6" w:space="0" w:color="000000"/>
              <w:right w:val="single" w:sz="6" w:space="0" w:color="000000"/>
            </w:tcBorders>
            <w:shd w:val="clear" w:color="auto" w:fill="F7CAAC"/>
            <w:tcMar>
              <w:top w:w="60" w:type="dxa"/>
              <w:left w:w="60" w:type="dxa"/>
              <w:bottom w:w="60" w:type="dxa"/>
              <w:right w:w="60" w:type="dxa"/>
            </w:tcMar>
          </w:tcPr>
          <w:p w14:paraId="0692F622" w14:textId="77777777" w:rsidR="000B21BA" w:rsidRDefault="00000000">
            <w:pP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Người sử dụng lao động</w:t>
            </w:r>
          </w:p>
        </w:tc>
        <w:tc>
          <w:tcPr>
            <w:tcW w:w="2469" w:type="pct"/>
            <w:gridSpan w:val="5"/>
            <w:tcBorders>
              <w:top w:val="single" w:sz="6" w:space="0" w:color="000000"/>
              <w:left w:val="single" w:sz="6" w:space="0" w:color="000000"/>
              <w:bottom w:val="single" w:sz="6" w:space="0" w:color="000000"/>
              <w:right w:val="single" w:sz="6" w:space="0" w:color="000000"/>
            </w:tcBorders>
            <w:shd w:val="clear" w:color="auto" w:fill="C5E0B3"/>
            <w:tcMar>
              <w:top w:w="60" w:type="dxa"/>
              <w:left w:w="60" w:type="dxa"/>
              <w:bottom w:w="60" w:type="dxa"/>
              <w:right w:w="60" w:type="dxa"/>
            </w:tcMar>
          </w:tcPr>
          <w:p w14:paraId="4EF92269" w14:textId="77777777" w:rsidR="000B21BA" w:rsidRDefault="00000000">
            <w:pP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Người lao động</w:t>
            </w:r>
          </w:p>
        </w:tc>
      </w:tr>
      <w:tr w:rsidR="00AB2E24" w14:paraId="2570EC23" w14:textId="77777777" w:rsidTr="00AB2E24">
        <w:tc>
          <w:tcPr>
            <w:tcW w:w="1620" w:type="pct"/>
            <w:gridSpan w:val="3"/>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7F48F526" w14:textId="77777777" w:rsidR="000B21BA" w:rsidRDefault="00000000" w:rsidP="00AB2E24">
            <w:pP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BHXH</w:t>
            </w:r>
          </w:p>
        </w:tc>
        <w:tc>
          <w:tcPr>
            <w:tcW w:w="452"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2CF1A8AB" w14:textId="77777777" w:rsidR="000B21BA" w:rsidRDefault="00000000" w:rsidP="00AB2E24">
            <w:pP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BHTN</w:t>
            </w:r>
          </w:p>
        </w:tc>
        <w:tc>
          <w:tcPr>
            <w:tcW w:w="459"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4DE07752" w14:textId="77777777" w:rsidR="000B21BA" w:rsidRDefault="00000000" w:rsidP="00AB2E24">
            <w:pP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BHYT</w:t>
            </w:r>
          </w:p>
        </w:tc>
        <w:tc>
          <w:tcPr>
            <w:tcW w:w="1563" w:type="pct"/>
            <w:gridSpan w:val="3"/>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374E5E67" w14:textId="77777777" w:rsidR="000B21BA" w:rsidRDefault="00000000" w:rsidP="00AB2E24">
            <w:pP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BHXH</w:t>
            </w:r>
          </w:p>
        </w:tc>
        <w:tc>
          <w:tcPr>
            <w:tcW w:w="452"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5488788C" w14:textId="77777777" w:rsidR="000B21BA" w:rsidRDefault="00000000" w:rsidP="00AB2E24">
            <w:pP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BHTN</w:t>
            </w:r>
          </w:p>
        </w:tc>
        <w:tc>
          <w:tcPr>
            <w:tcW w:w="453"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1285789D" w14:textId="77777777" w:rsidR="000B21BA" w:rsidRDefault="00000000" w:rsidP="00AB2E24">
            <w:pP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BHYT</w:t>
            </w:r>
          </w:p>
        </w:tc>
      </w:tr>
      <w:tr w:rsidR="00AB2E24" w14:paraId="3FC37E83" w14:textId="77777777" w:rsidTr="00AB2E24">
        <w:tc>
          <w:tcPr>
            <w:tcW w:w="281" w:type="pct"/>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tcPr>
          <w:p w14:paraId="781FD107" w14:textId="77777777" w:rsidR="000B21BA" w:rsidRDefault="00000000">
            <w:pP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HT</w:t>
            </w:r>
          </w:p>
        </w:tc>
        <w:tc>
          <w:tcPr>
            <w:tcW w:w="519" w:type="pct"/>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tcPr>
          <w:p w14:paraId="77A30355" w14:textId="77777777" w:rsidR="000B21BA" w:rsidRDefault="00000000">
            <w:pP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ÔĐ-TS</w:t>
            </w:r>
          </w:p>
        </w:tc>
        <w:tc>
          <w:tcPr>
            <w:tcW w:w="820" w:type="pct"/>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tcPr>
          <w:p w14:paraId="43C3D594" w14:textId="77777777" w:rsidR="000B21BA" w:rsidRDefault="00000000">
            <w:pP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TNLĐ-BNN</w:t>
            </w:r>
          </w:p>
        </w:tc>
        <w:tc>
          <w:tcPr>
            <w:tcW w:w="452"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tcPr>
          <w:p w14:paraId="4AE578CA" w14:textId="77777777" w:rsidR="000B21BA" w:rsidRDefault="000B21BA">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8"/>
                <w:szCs w:val="28"/>
              </w:rPr>
            </w:pPr>
          </w:p>
        </w:tc>
        <w:tc>
          <w:tcPr>
            <w:tcW w:w="459"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tcPr>
          <w:p w14:paraId="6057B80B" w14:textId="77777777" w:rsidR="000B21BA" w:rsidRDefault="000B21BA">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8"/>
                <w:szCs w:val="28"/>
              </w:rPr>
            </w:pPr>
          </w:p>
        </w:tc>
        <w:tc>
          <w:tcPr>
            <w:tcW w:w="244" w:type="pct"/>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tcPr>
          <w:p w14:paraId="203C75F5" w14:textId="77777777" w:rsidR="000B21BA" w:rsidRDefault="00000000">
            <w:pP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HT</w:t>
            </w:r>
          </w:p>
        </w:tc>
        <w:tc>
          <w:tcPr>
            <w:tcW w:w="486" w:type="pct"/>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tcPr>
          <w:p w14:paraId="4A860A6D" w14:textId="77777777" w:rsidR="000B21BA" w:rsidRDefault="00000000">
            <w:pP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ÔĐ-TS</w:t>
            </w:r>
          </w:p>
        </w:tc>
        <w:tc>
          <w:tcPr>
            <w:tcW w:w="833" w:type="pct"/>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tcPr>
          <w:p w14:paraId="134AC9F2" w14:textId="77777777" w:rsidR="000B21BA" w:rsidRDefault="00000000">
            <w:pP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TNLĐ-BNN</w:t>
            </w:r>
          </w:p>
        </w:tc>
        <w:tc>
          <w:tcPr>
            <w:tcW w:w="452"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tcPr>
          <w:p w14:paraId="3732144B" w14:textId="77777777" w:rsidR="000B21BA" w:rsidRDefault="000B21BA">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8"/>
                <w:szCs w:val="28"/>
              </w:rPr>
            </w:pPr>
          </w:p>
        </w:tc>
        <w:tc>
          <w:tcPr>
            <w:tcW w:w="453"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tcPr>
          <w:p w14:paraId="174150BF" w14:textId="77777777" w:rsidR="000B21BA" w:rsidRDefault="000B21BA">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8"/>
                <w:szCs w:val="28"/>
              </w:rPr>
            </w:pPr>
          </w:p>
        </w:tc>
      </w:tr>
      <w:tr w:rsidR="00AB2E24" w14:paraId="27E92A5E" w14:textId="77777777" w:rsidTr="00AB2E24">
        <w:tc>
          <w:tcPr>
            <w:tcW w:w="281" w:type="pct"/>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tcPr>
          <w:p w14:paraId="49D93A3C" w14:textId="77777777" w:rsidR="000B21BA" w:rsidRDefault="00000000">
            <w:pP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14%</w:t>
            </w:r>
          </w:p>
        </w:tc>
        <w:tc>
          <w:tcPr>
            <w:tcW w:w="519" w:type="pct"/>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tcPr>
          <w:p w14:paraId="2D9BF70D" w14:textId="77777777" w:rsidR="000B21BA" w:rsidRDefault="00000000">
            <w:pP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c>
          <w:tcPr>
            <w:tcW w:w="820" w:type="pct"/>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tcPr>
          <w:p w14:paraId="53616CBD" w14:textId="77777777" w:rsidR="000B21BA" w:rsidRDefault="00000000">
            <w:pP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0,5%</w:t>
            </w:r>
          </w:p>
        </w:tc>
        <w:tc>
          <w:tcPr>
            <w:tcW w:w="452" w:type="pct"/>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tcPr>
          <w:p w14:paraId="5B955F48" w14:textId="77777777" w:rsidR="000B21BA" w:rsidRDefault="00000000">
            <w:pP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459" w:type="pct"/>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tcPr>
          <w:p w14:paraId="0C753815" w14:textId="77777777" w:rsidR="000B21BA" w:rsidRDefault="00000000">
            <w:pP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c>
          <w:tcPr>
            <w:tcW w:w="244" w:type="pct"/>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tcPr>
          <w:p w14:paraId="07F538D3" w14:textId="77777777" w:rsidR="000B21BA" w:rsidRDefault="00000000">
            <w:pP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w:t>
            </w:r>
          </w:p>
        </w:tc>
        <w:tc>
          <w:tcPr>
            <w:tcW w:w="486" w:type="pct"/>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tcPr>
          <w:p w14:paraId="6591BD28" w14:textId="77777777" w:rsidR="000B21BA" w:rsidRDefault="00000000">
            <w:pP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833" w:type="pct"/>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tcPr>
          <w:p w14:paraId="2312A4D0" w14:textId="77777777" w:rsidR="000B21BA" w:rsidRDefault="00000000">
            <w:pP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452" w:type="pct"/>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tcPr>
          <w:p w14:paraId="1D498E04" w14:textId="77777777" w:rsidR="000B21BA" w:rsidRDefault="00000000">
            <w:pP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453" w:type="pct"/>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tcPr>
          <w:p w14:paraId="29D9E9C0" w14:textId="77777777" w:rsidR="000B21BA" w:rsidRDefault="00000000">
            <w:pP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1,5%</w:t>
            </w:r>
          </w:p>
        </w:tc>
      </w:tr>
      <w:tr w:rsidR="000B21BA" w14:paraId="7570E394" w14:textId="77777777" w:rsidTr="00AB2E24">
        <w:tc>
          <w:tcPr>
            <w:tcW w:w="2531" w:type="pct"/>
            <w:gridSpan w:val="5"/>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tcPr>
          <w:p w14:paraId="370B13CB" w14:textId="77777777" w:rsidR="000B21BA" w:rsidRDefault="00000000">
            <w:pP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21,5%</w:t>
            </w:r>
          </w:p>
        </w:tc>
        <w:tc>
          <w:tcPr>
            <w:tcW w:w="2469" w:type="pct"/>
            <w:gridSpan w:val="5"/>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tcPr>
          <w:p w14:paraId="3F031CB3" w14:textId="77777777" w:rsidR="000B21BA" w:rsidRDefault="00000000">
            <w:pP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10,5%</w:t>
            </w:r>
          </w:p>
        </w:tc>
      </w:tr>
      <w:tr w:rsidR="000B21BA" w14:paraId="1881DF9F" w14:textId="77777777" w:rsidTr="00AB2E24">
        <w:tc>
          <w:tcPr>
            <w:tcW w:w="5000" w:type="pct"/>
            <w:gridSpan w:val="10"/>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tcPr>
          <w:p w14:paraId="06D79BD5" w14:textId="77777777" w:rsidR="000B21BA" w:rsidRDefault="00000000">
            <w:pP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Tổng cộng 32%</w:t>
            </w:r>
          </w:p>
        </w:tc>
      </w:tr>
    </w:tbl>
    <w:p w14:paraId="496C94CD" w14:textId="77777777" w:rsidR="000B21BA" w:rsidRDefault="00000000">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Như vậy, </w:t>
      </w:r>
      <w:r>
        <w:rPr>
          <w:rFonts w:ascii="Times New Roman" w:eastAsia="Times New Roman" w:hAnsi="Times New Roman" w:cs="Times New Roman"/>
          <w:b/>
          <w:color w:val="000000"/>
          <w:sz w:val="28"/>
          <w:szCs w:val="28"/>
        </w:rPr>
        <w:t>tỷ lệ đóng BHXH bắt buộc năm 2025 của giáo viên người Việt Nam là 32%.</w:t>
      </w:r>
    </w:p>
    <w:p w14:paraId="65956598" w14:textId="77777777" w:rsidR="000B21BA" w:rsidRDefault="00000000">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Trong đó:</w:t>
      </w:r>
    </w:p>
    <w:p w14:paraId="2F67725A" w14:textId="77777777" w:rsidR="000B21BA" w:rsidRDefault="00000000">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Chủ hộ kinh doanh đóng 21,5%: Gồm 14% cho chế độ hưu trí, 3% cho chế độ ốm đau - thai sản, 0,5% chế độ tai nạn lao động - bệnh nghề nghiệp; 1% bảo hiểm thất nghiệp và 3% BHYT.</w:t>
      </w:r>
    </w:p>
    <w:p w14:paraId="2E9AC362" w14:textId="77777777" w:rsidR="000B21BA" w:rsidRDefault="00000000">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Giáo viên đóng 10,5%: Gồm 8% vào quỹ hưu trí; 1% bảo hiểm thất nghiệp và 1,5% BHYT.</w:t>
      </w:r>
    </w:p>
    <w:p w14:paraId="02465488" w14:textId="0C23D2A0" w:rsidR="000B21BA" w:rsidRDefault="00000000">
      <w:pPr>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2.2</w:t>
      </w:r>
      <w:r w:rsidR="00AB2E24">
        <w:rPr>
          <w:rFonts w:ascii="Times New Roman" w:eastAsia="Times New Roman" w:hAnsi="Times New Roman" w:cs="Times New Roman"/>
          <w:b/>
          <w:color w:val="000000"/>
          <w:sz w:val="28"/>
          <w:szCs w:val="28"/>
          <w:lang w:val="en-SG"/>
        </w:rPr>
        <w:t>.</w:t>
      </w:r>
      <w:r>
        <w:rPr>
          <w:rFonts w:ascii="Times New Roman" w:eastAsia="Times New Roman" w:hAnsi="Times New Roman" w:cs="Times New Roman"/>
          <w:b/>
          <w:color w:val="000000"/>
          <w:sz w:val="28"/>
          <w:szCs w:val="28"/>
        </w:rPr>
        <w:t xml:space="preserve"> Trường hợp giáo viên là người nước ngoài</w:t>
      </w:r>
    </w:p>
    <w:tbl>
      <w:tblPr>
        <w:tblStyle w:val="a0"/>
        <w:tblW w:w="5000" w:type="pct"/>
        <w:tblLook w:val="0400" w:firstRow="0" w:lastRow="0" w:firstColumn="0" w:lastColumn="0" w:noHBand="0" w:noVBand="1"/>
      </w:tblPr>
      <w:tblGrid>
        <w:gridCol w:w="844"/>
        <w:gridCol w:w="770"/>
        <w:gridCol w:w="1067"/>
        <w:gridCol w:w="1053"/>
        <w:gridCol w:w="1088"/>
        <w:gridCol w:w="889"/>
        <w:gridCol w:w="725"/>
        <w:gridCol w:w="994"/>
        <w:gridCol w:w="1307"/>
        <w:gridCol w:w="1215"/>
      </w:tblGrid>
      <w:tr w:rsidR="000B21BA" w14:paraId="19A2AC93" w14:textId="77777777" w:rsidTr="00AB2E24">
        <w:tc>
          <w:tcPr>
            <w:tcW w:w="2414" w:type="pct"/>
            <w:gridSpan w:val="5"/>
            <w:tcBorders>
              <w:top w:val="single" w:sz="8" w:space="0" w:color="000000"/>
              <w:left w:val="single" w:sz="8" w:space="0" w:color="000000"/>
              <w:bottom w:val="single" w:sz="8" w:space="0" w:color="000000"/>
              <w:right w:val="single" w:sz="8" w:space="0" w:color="000000"/>
            </w:tcBorders>
            <w:shd w:val="clear" w:color="auto" w:fill="F7CAAC"/>
            <w:tcMar>
              <w:top w:w="0" w:type="dxa"/>
              <w:left w:w="108" w:type="dxa"/>
              <w:bottom w:w="0" w:type="dxa"/>
              <w:right w:w="108" w:type="dxa"/>
            </w:tcMar>
          </w:tcPr>
          <w:p w14:paraId="5F259549" w14:textId="77777777" w:rsidR="000B21BA" w:rsidRDefault="00000000">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Người sử dụng lao động</w:t>
            </w:r>
          </w:p>
        </w:tc>
        <w:tc>
          <w:tcPr>
            <w:tcW w:w="2586" w:type="pct"/>
            <w:gridSpan w:val="5"/>
            <w:tcBorders>
              <w:top w:val="single" w:sz="8" w:space="0" w:color="000000"/>
              <w:left w:val="nil"/>
              <w:bottom w:val="single" w:sz="8" w:space="0" w:color="000000"/>
              <w:right w:val="single" w:sz="8" w:space="0" w:color="000000"/>
            </w:tcBorders>
            <w:shd w:val="clear" w:color="auto" w:fill="C5E0B3"/>
            <w:tcMar>
              <w:top w:w="0" w:type="dxa"/>
              <w:left w:w="108" w:type="dxa"/>
              <w:bottom w:w="0" w:type="dxa"/>
              <w:right w:w="108" w:type="dxa"/>
            </w:tcMar>
          </w:tcPr>
          <w:p w14:paraId="3FDCEDFC" w14:textId="77777777" w:rsidR="000B21BA" w:rsidRDefault="00000000">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Người lao động nước ngoài</w:t>
            </w:r>
          </w:p>
        </w:tc>
      </w:tr>
      <w:tr w:rsidR="000B21BA" w14:paraId="4E0C339A" w14:textId="77777777" w:rsidTr="00AB2E24">
        <w:tc>
          <w:tcPr>
            <w:tcW w:w="1353" w:type="pct"/>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0C33695" w14:textId="77777777" w:rsidR="000B21BA" w:rsidRDefault="00000000">
            <w:pP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Bảo hiểm xã hội</w:t>
            </w:r>
          </w:p>
        </w:tc>
        <w:tc>
          <w:tcPr>
            <w:tcW w:w="531" w:type="pct"/>
            <w:vMerge w:val="restart"/>
            <w:tcBorders>
              <w:top w:val="nil"/>
              <w:left w:val="nil"/>
              <w:bottom w:val="single" w:sz="8" w:space="0" w:color="000000"/>
              <w:right w:val="single" w:sz="8" w:space="0" w:color="000000"/>
            </w:tcBorders>
            <w:tcMar>
              <w:top w:w="0" w:type="dxa"/>
              <w:left w:w="108" w:type="dxa"/>
              <w:bottom w:w="0" w:type="dxa"/>
              <w:right w:w="108" w:type="dxa"/>
            </w:tcMar>
          </w:tcPr>
          <w:p w14:paraId="2C11A7EE" w14:textId="77777777" w:rsidR="000B21BA" w:rsidRDefault="00000000">
            <w:pP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Bảo hiểm thất nghiệp</w:t>
            </w:r>
          </w:p>
        </w:tc>
        <w:tc>
          <w:tcPr>
            <w:tcW w:w="531" w:type="pct"/>
            <w:vMerge w:val="restart"/>
            <w:tcBorders>
              <w:top w:val="nil"/>
              <w:left w:val="nil"/>
              <w:bottom w:val="single" w:sz="8" w:space="0" w:color="000000"/>
              <w:right w:val="single" w:sz="8" w:space="0" w:color="000000"/>
            </w:tcBorders>
            <w:tcMar>
              <w:top w:w="0" w:type="dxa"/>
              <w:left w:w="108" w:type="dxa"/>
              <w:bottom w:w="0" w:type="dxa"/>
              <w:right w:w="108" w:type="dxa"/>
            </w:tcMar>
          </w:tcPr>
          <w:p w14:paraId="3C6418F9" w14:textId="77777777" w:rsidR="000B21BA" w:rsidRDefault="00000000">
            <w:pP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Bảo hiểm  y tế</w:t>
            </w:r>
          </w:p>
        </w:tc>
        <w:tc>
          <w:tcPr>
            <w:tcW w:w="1315" w:type="pct"/>
            <w:gridSpan w:val="3"/>
            <w:tcBorders>
              <w:top w:val="nil"/>
              <w:left w:val="nil"/>
              <w:bottom w:val="single" w:sz="8" w:space="0" w:color="000000"/>
              <w:right w:val="single" w:sz="8" w:space="0" w:color="000000"/>
            </w:tcBorders>
            <w:tcMar>
              <w:top w:w="0" w:type="dxa"/>
              <w:left w:w="108" w:type="dxa"/>
              <w:bottom w:w="0" w:type="dxa"/>
              <w:right w:w="108" w:type="dxa"/>
            </w:tcMar>
          </w:tcPr>
          <w:p w14:paraId="671ED52E" w14:textId="77777777" w:rsidR="000B21BA" w:rsidRDefault="00000000">
            <w:pP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Bảo hiểm xã hội</w:t>
            </w:r>
          </w:p>
        </w:tc>
        <w:tc>
          <w:tcPr>
            <w:tcW w:w="658" w:type="pct"/>
            <w:vMerge w:val="restart"/>
            <w:tcBorders>
              <w:top w:val="nil"/>
              <w:left w:val="nil"/>
              <w:bottom w:val="single" w:sz="8" w:space="0" w:color="000000"/>
              <w:right w:val="single" w:sz="8" w:space="0" w:color="000000"/>
            </w:tcBorders>
            <w:tcMar>
              <w:top w:w="0" w:type="dxa"/>
              <w:left w:w="108" w:type="dxa"/>
              <w:bottom w:w="0" w:type="dxa"/>
              <w:right w:w="108" w:type="dxa"/>
            </w:tcMar>
          </w:tcPr>
          <w:p w14:paraId="24E545EA" w14:textId="77777777" w:rsidR="000B21BA" w:rsidRDefault="00000000">
            <w:pP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Bảo hiểm thất nghiệp</w:t>
            </w:r>
          </w:p>
        </w:tc>
        <w:tc>
          <w:tcPr>
            <w:tcW w:w="613" w:type="pct"/>
            <w:vMerge w:val="restart"/>
            <w:tcBorders>
              <w:top w:val="nil"/>
              <w:left w:val="nil"/>
              <w:bottom w:val="single" w:sz="8" w:space="0" w:color="000000"/>
              <w:right w:val="single" w:sz="8" w:space="0" w:color="000000"/>
            </w:tcBorders>
            <w:tcMar>
              <w:top w:w="0" w:type="dxa"/>
              <w:left w:w="108" w:type="dxa"/>
              <w:bottom w:w="0" w:type="dxa"/>
              <w:right w:w="108" w:type="dxa"/>
            </w:tcMar>
          </w:tcPr>
          <w:p w14:paraId="0AB7F3AF" w14:textId="77777777" w:rsidR="000B21BA" w:rsidRDefault="00000000">
            <w:pP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Bảo hiểm  y tế</w:t>
            </w:r>
          </w:p>
        </w:tc>
      </w:tr>
      <w:tr w:rsidR="000B21BA" w14:paraId="1DB31854" w14:textId="77777777" w:rsidTr="00AB2E24">
        <w:tc>
          <w:tcPr>
            <w:tcW w:w="426"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524692C" w14:textId="77777777" w:rsidR="000B21BA" w:rsidRDefault="00000000">
            <w:pP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Hưu trí-tử tuất</w:t>
            </w:r>
          </w:p>
        </w:tc>
        <w:tc>
          <w:tcPr>
            <w:tcW w:w="389" w:type="pct"/>
            <w:tcBorders>
              <w:top w:val="nil"/>
              <w:left w:val="nil"/>
              <w:bottom w:val="single" w:sz="8" w:space="0" w:color="000000"/>
              <w:right w:val="single" w:sz="8" w:space="0" w:color="000000"/>
            </w:tcBorders>
            <w:tcMar>
              <w:top w:w="0" w:type="dxa"/>
              <w:left w:w="108" w:type="dxa"/>
              <w:bottom w:w="0" w:type="dxa"/>
              <w:right w:w="108" w:type="dxa"/>
            </w:tcMar>
          </w:tcPr>
          <w:p w14:paraId="20E388BD" w14:textId="77777777" w:rsidR="000B21BA" w:rsidRDefault="00000000">
            <w:pP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Ốm đau-thai sản</w:t>
            </w:r>
          </w:p>
        </w:tc>
        <w:tc>
          <w:tcPr>
            <w:tcW w:w="538" w:type="pct"/>
            <w:tcBorders>
              <w:top w:val="nil"/>
              <w:left w:val="nil"/>
              <w:bottom w:val="single" w:sz="8" w:space="0" w:color="000000"/>
              <w:right w:val="single" w:sz="8" w:space="0" w:color="000000"/>
            </w:tcBorders>
            <w:tcMar>
              <w:top w:w="0" w:type="dxa"/>
              <w:left w:w="108" w:type="dxa"/>
              <w:bottom w:w="0" w:type="dxa"/>
              <w:right w:w="108" w:type="dxa"/>
            </w:tcMar>
          </w:tcPr>
          <w:p w14:paraId="540186A3" w14:textId="77777777" w:rsidR="000B21BA" w:rsidRDefault="00000000">
            <w:pP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Tai nạn lao động-bệnh nghề nghiệp</w:t>
            </w:r>
          </w:p>
        </w:tc>
        <w:tc>
          <w:tcPr>
            <w:tcW w:w="531" w:type="pct"/>
            <w:vMerge/>
            <w:tcBorders>
              <w:top w:val="nil"/>
              <w:left w:val="nil"/>
              <w:bottom w:val="single" w:sz="8" w:space="0" w:color="000000"/>
              <w:right w:val="single" w:sz="8" w:space="0" w:color="000000"/>
            </w:tcBorders>
            <w:tcMar>
              <w:top w:w="0" w:type="dxa"/>
              <w:left w:w="108" w:type="dxa"/>
              <w:bottom w:w="0" w:type="dxa"/>
              <w:right w:w="108" w:type="dxa"/>
            </w:tcMar>
          </w:tcPr>
          <w:p w14:paraId="5996FC19" w14:textId="77777777" w:rsidR="000B21BA" w:rsidRDefault="000B21BA">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8"/>
                <w:szCs w:val="28"/>
              </w:rPr>
            </w:pPr>
          </w:p>
        </w:tc>
        <w:tc>
          <w:tcPr>
            <w:tcW w:w="531" w:type="pct"/>
            <w:vMerge/>
            <w:tcBorders>
              <w:top w:val="nil"/>
              <w:left w:val="nil"/>
              <w:bottom w:val="single" w:sz="8" w:space="0" w:color="000000"/>
              <w:right w:val="single" w:sz="8" w:space="0" w:color="000000"/>
            </w:tcBorders>
            <w:tcMar>
              <w:top w:w="0" w:type="dxa"/>
              <w:left w:w="108" w:type="dxa"/>
              <w:bottom w:w="0" w:type="dxa"/>
              <w:right w:w="108" w:type="dxa"/>
            </w:tcMar>
          </w:tcPr>
          <w:p w14:paraId="10521F9B" w14:textId="77777777" w:rsidR="000B21BA" w:rsidRDefault="000B21BA">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8"/>
                <w:szCs w:val="28"/>
              </w:rPr>
            </w:pPr>
          </w:p>
        </w:tc>
        <w:tc>
          <w:tcPr>
            <w:tcW w:w="448" w:type="pct"/>
            <w:tcBorders>
              <w:top w:val="nil"/>
              <w:left w:val="nil"/>
              <w:bottom w:val="single" w:sz="8" w:space="0" w:color="000000"/>
              <w:right w:val="single" w:sz="8" w:space="0" w:color="000000"/>
            </w:tcBorders>
            <w:tcMar>
              <w:top w:w="0" w:type="dxa"/>
              <w:left w:w="108" w:type="dxa"/>
              <w:bottom w:w="0" w:type="dxa"/>
              <w:right w:w="108" w:type="dxa"/>
            </w:tcMar>
          </w:tcPr>
          <w:p w14:paraId="39932C97" w14:textId="77777777" w:rsidR="000B21BA" w:rsidRDefault="00000000">
            <w:pP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Hưu trí-tử tuất</w:t>
            </w:r>
          </w:p>
        </w:tc>
        <w:tc>
          <w:tcPr>
            <w:tcW w:w="366" w:type="pct"/>
            <w:tcBorders>
              <w:top w:val="nil"/>
              <w:left w:val="nil"/>
              <w:bottom w:val="single" w:sz="8" w:space="0" w:color="000000"/>
              <w:right w:val="single" w:sz="8" w:space="0" w:color="000000"/>
            </w:tcBorders>
            <w:tcMar>
              <w:top w:w="0" w:type="dxa"/>
              <w:left w:w="108" w:type="dxa"/>
              <w:bottom w:w="0" w:type="dxa"/>
              <w:right w:w="108" w:type="dxa"/>
            </w:tcMar>
          </w:tcPr>
          <w:p w14:paraId="5E2267EF" w14:textId="77777777" w:rsidR="000B21BA" w:rsidRDefault="00000000">
            <w:pP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Ốm đau-thai sản</w:t>
            </w:r>
          </w:p>
        </w:tc>
        <w:tc>
          <w:tcPr>
            <w:tcW w:w="501" w:type="pct"/>
            <w:tcBorders>
              <w:top w:val="nil"/>
              <w:left w:val="nil"/>
              <w:bottom w:val="single" w:sz="8" w:space="0" w:color="000000"/>
              <w:right w:val="single" w:sz="8" w:space="0" w:color="000000"/>
            </w:tcBorders>
            <w:tcMar>
              <w:top w:w="0" w:type="dxa"/>
              <w:left w:w="108" w:type="dxa"/>
              <w:bottom w:w="0" w:type="dxa"/>
              <w:right w:w="108" w:type="dxa"/>
            </w:tcMar>
          </w:tcPr>
          <w:p w14:paraId="68FA15D0" w14:textId="77777777" w:rsidR="000B21BA" w:rsidRDefault="00000000">
            <w:pP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Tai nạn lao động-bệnh nghề nghiệp</w:t>
            </w:r>
          </w:p>
        </w:tc>
        <w:tc>
          <w:tcPr>
            <w:tcW w:w="658" w:type="pct"/>
            <w:vMerge/>
            <w:tcBorders>
              <w:top w:val="nil"/>
              <w:left w:val="nil"/>
              <w:bottom w:val="single" w:sz="8" w:space="0" w:color="000000"/>
              <w:right w:val="single" w:sz="8" w:space="0" w:color="000000"/>
            </w:tcBorders>
            <w:tcMar>
              <w:top w:w="0" w:type="dxa"/>
              <w:left w:w="108" w:type="dxa"/>
              <w:bottom w:w="0" w:type="dxa"/>
              <w:right w:w="108" w:type="dxa"/>
            </w:tcMar>
          </w:tcPr>
          <w:p w14:paraId="5D23AC2B" w14:textId="77777777" w:rsidR="000B21BA" w:rsidRDefault="000B21BA">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8"/>
                <w:szCs w:val="28"/>
              </w:rPr>
            </w:pPr>
          </w:p>
        </w:tc>
        <w:tc>
          <w:tcPr>
            <w:tcW w:w="613" w:type="pct"/>
            <w:vMerge/>
            <w:tcBorders>
              <w:top w:val="nil"/>
              <w:left w:val="nil"/>
              <w:bottom w:val="single" w:sz="8" w:space="0" w:color="000000"/>
              <w:right w:val="single" w:sz="8" w:space="0" w:color="000000"/>
            </w:tcBorders>
            <w:tcMar>
              <w:top w:w="0" w:type="dxa"/>
              <w:left w:w="108" w:type="dxa"/>
              <w:bottom w:w="0" w:type="dxa"/>
              <w:right w:w="108" w:type="dxa"/>
            </w:tcMar>
          </w:tcPr>
          <w:p w14:paraId="3C90E522" w14:textId="77777777" w:rsidR="000B21BA" w:rsidRDefault="000B21BA">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8"/>
                <w:szCs w:val="28"/>
              </w:rPr>
            </w:pPr>
          </w:p>
        </w:tc>
      </w:tr>
      <w:tr w:rsidR="000B21BA" w14:paraId="24E80136" w14:textId="77777777" w:rsidTr="00AB2E24">
        <w:tc>
          <w:tcPr>
            <w:tcW w:w="426"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7AB91339" w14:textId="77777777" w:rsidR="000B21BA" w:rsidRDefault="00000000">
            <w:pP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14%</w:t>
            </w:r>
          </w:p>
        </w:tc>
        <w:tc>
          <w:tcPr>
            <w:tcW w:w="389"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29236134" w14:textId="77777777" w:rsidR="000B21BA" w:rsidRDefault="00000000">
            <w:pP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c>
          <w:tcPr>
            <w:tcW w:w="538"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4D54C628" w14:textId="77777777" w:rsidR="000B21BA" w:rsidRDefault="00000000">
            <w:pP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0,5% (*)</w:t>
            </w:r>
          </w:p>
        </w:tc>
        <w:tc>
          <w:tcPr>
            <w:tcW w:w="531"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4842C432" w14:textId="77777777" w:rsidR="000B21BA" w:rsidRDefault="00000000">
            <w:pP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531"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446D9FEF" w14:textId="77777777" w:rsidR="000B21BA" w:rsidRDefault="00000000">
            <w:pP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c>
          <w:tcPr>
            <w:tcW w:w="448"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3C9D71A3" w14:textId="77777777" w:rsidR="000B21BA" w:rsidRDefault="00000000">
            <w:pP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w:t>
            </w:r>
          </w:p>
        </w:tc>
        <w:tc>
          <w:tcPr>
            <w:tcW w:w="366"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7F1D3D92" w14:textId="77777777" w:rsidR="000B21BA" w:rsidRDefault="00000000">
            <w:pP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501"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1FD0158F" w14:textId="77777777" w:rsidR="000B21BA" w:rsidRDefault="00000000">
            <w:pP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658"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0CD7CAD2" w14:textId="77777777" w:rsidR="000B21BA" w:rsidRDefault="00000000">
            <w:pP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613"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4D8C92C9" w14:textId="77777777" w:rsidR="000B21BA" w:rsidRDefault="00000000">
            <w:pP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1,5%</w:t>
            </w:r>
          </w:p>
        </w:tc>
      </w:tr>
      <w:tr w:rsidR="000B21BA" w14:paraId="33B64583" w14:textId="77777777" w:rsidTr="00AB2E24">
        <w:tc>
          <w:tcPr>
            <w:tcW w:w="2414" w:type="pct"/>
            <w:gridSpan w:val="5"/>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3834670" w14:textId="77777777" w:rsidR="000B21BA" w:rsidRDefault="00000000">
            <w:pP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20,5%</w:t>
            </w:r>
          </w:p>
        </w:tc>
        <w:tc>
          <w:tcPr>
            <w:tcW w:w="2586" w:type="pct"/>
            <w:gridSpan w:val="5"/>
            <w:tcBorders>
              <w:top w:val="nil"/>
              <w:left w:val="nil"/>
              <w:bottom w:val="single" w:sz="8" w:space="0" w:color="000000"/>
              <w:right w:val="single" w:sz="8" w:space="0" w:color="000000"/>
            </w:tcBorders>
            <w:tcMar>
              <w:top w:w="0" w:type="dxa"/>
              <w:left w:w="108" w:type="dxa"/>
              <w:bottom w:w="0" w:type="dxa"/>
              <w:right w:w="108" w:type="dxa"/>
            </w:tcMar>
          </w:tcPr>
          <w:p w14:paraId="0E321E04" w14:textId="77777777" w:rsidR="000B21BA" w:rsidRDefault="00000000">
            <w:pP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9,5%</w:t>
            </w:r>
          </w:p>
        </w:tc>
      </w:tr>
      <w:tr w:rsidR="000B21BA" w14:paraId="6D44D49F" w14:textId="77777777" w:rsidTr="00AB2E24">
        <w:tc>
          <w:tcPr>
            <w:tcW w:w="5000" w:type="pct"/>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295860F" w14:textId="77777777" w:rsidR="000B21BA" w:rsidRDefault="00000000">
            <w:pP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Tổng = 30%</w:t>
            </w:r>
          </w:p>
        </w:tc>
      </w:tr>
    </w:tbl>
    <w:p w14:paraId="049DDC9D" w14:textId="77777777" w:rsidR="000B21BA" w:rsidRDefault="00000000">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Như vậy, tỷ lệ đóng BHXH bắt buộc năm 2025 của </w:t>
      </w:r>
      <w:r>
        <w:rPr>
          <w:rFonts w:ascii="Times New Roman" w:eastAsia="Times New Roman" w:hAnsi="Times New Roman" w:cs="Times New Roman"/>
          <w:b/>
          <w:color w:val="000000"/>
          <w:sz w:val="28"/>
          <w:szCs w:val="28"/>
        </w:rPr>
        <w:t>giáo viên người nước ngoài là 30%.</w:t>
      </w:r>
    </w:p>
    <w:p w14:paraId="278DFDE7" w14:textId="77777777" w:rsidR="000B21BA" w:rsidRDefault="00000000">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Riêng đối với doanh nghiệp hoạt động trong các ngành nghề có nguy cơ cao về tai nạn lao động, bệnh nghề nghiệp, nếu đủ điều kiện, có văn bản đề nghị và được Bộ Lao động - </w:t>
      </w:r>
      <w:r>
        <w:rPr>
          <w:rFonts w:ascii="Times New Roman" w:eastAsia="Times New Roman" w:hAnsi="Times New Roman" w:cs="Times New Roman"/>
          <w:color w:val="000000"/>
          <w:sz w:val="28"/>
          <w:szCs w:val="28"/>
        </w:rPr>
        <w:lastRenderedPageBreak/>
        <w:t>Thương binh và Xã hội chấp thuận thì được đóng vào quỹ bảo hiểm tai nạn lao động, bệnh nghề nghiệp với mức thấp hơn là 0,3%.</w:t>
      </w:r>
    </w:p>
    <w:p w14:paraId="0D5241E4" w14:textId="77777777" w:rsidR="000B21BA" w:rsidRDefault="00000000">
      <w:pPr>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3. Phương thức đóng BHXH với hộ kinh doanh dạy thêm</w:t>
      </w:r>
    </w:p>
    <w:p w14:paraId="27B6796F" w14:textId="77777777" w:rsidR="000B21BA" w:rsidRDefault="00000000">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Căn cứ </w:t>
      </w:r>
      <w:hyperlink r:id="rId9">
        <w:r>
          <w:rPr>
            <w:rFonts w:ascii="Times New Roman" w:eastAsia="Times New Roman" w:hAnsi="Times New Roman" w:cs="Times New Roman"/>
            <w:color w:val="000000"/>
            <w:sz w:val="28"/>
            <w:szCs w:val="28"/>
          </w:rPr>
          <w:t>Quyết định 595/QĐ-BHXH năm 2017</w:t>
        </w:r>
      </w:hyperlink>
      <w:r>
        <w:rPr>
          <w:rFonts w:ascii="Times New Roman" w:eastAsia="Times New Roman" w:hAnsi="Times New Roman" w:cs="Times New Roman"/>
          <w:color w:val="000000"/>
          <w:sz w:val="28"/>
          <w:szCs w:val="28"/>
        </w:rPr>
        <w:t> được sửa đổi bởi khoản 13 Điều 1 </w:t>
      </w:r>
      <w:hyperlink r:id="rId10">
        <w:r>
          <w:rPr>
            <w:rFonts w:ascii="Times New Roman" w:eastAsia="Times New Roman" w:hAnsi="Times New Roman" w:cs="Times New Roman"/>
            <w:color w:val="000000"/>
            <w:sz w:val="28"/>
            <w:szCs w:val="28"/>
          </w:rPr>
          <w:t>Quyết định 505/QĐ-BHXH năm 2020</w:t>
        </w:r>
      </w:hyperlink>
      <w:r>
        <w:rPr>
          <w:rFonts w:ascii="Times New Roman" w:eastAsia="Times New Roman" w:hAnsi="Times New Roman" w:cs="Times New Roman"/>
          <w:color w:val="000000"/>
          <w:sz w:val="28"/>
          <w:szCs w:val="28"/>
        </w:rPr>
        <w:t> quy định, hộ kinh doanh dạy thêm đóng BHXH có thể lựa chọn phương thức đóng là</w:t>
      </w:r>
      <w:r>
        <w:rPr>
          <w:rFonts w:ascii="Times New Roman" w:eastAsia="Times New Roman" w:hAnsi="Times New Roman" w:cs="Times New Roman"/>
          <w:b/>
          <w:color w:val="000000"/>
          <w:sz w:val="28"/>
          <w:szCs w:val="28"/>
        </w:rPr>
        <w:t> </w:t>
      </w:r>
      <w:r>
        <w:rPr>
          <w:rFonts w:ascii="Times New Roman" w:eastAsia="Times New Roman" w:hAnsi="Times New Roman" w:cs="Times New Roman"/>
          <w:color w:val="000000"/>
          <w:sz w:val="28"/>
          <w:szCs w:val="28"/>
        </w:rPr>
        <w:t>03 hoặc 06 tháng đóng một lần với cơ quan bảo hiểm xã hội.</w:t>
      </w:r>
    </w:p>
    <w:p w14:paraId="1E5D543E" w14:textId="77777777" w:rsidR="000B21BA" w:rsidRDefault="00000000">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Chậm nhất đến ngày cuối cùng của phương thức đóng, hộ kinh doanh phải chuyển đủ tiền vào quỹ bảo hiểm xã hội.</w:t>
      </w:r>
    </w:p>
    <w:p w14:paraId="7D759BD9" w14:textId="77777777" w:rsidR="000B21BA" w:rsidRDefault="00000000">
      <w:pPr>
        <w:spacing w:after="0" w:line="360" w:lineRule="auto"/>
        <w:jc w:val="both"/>
        <w:rPr>
          <w:rFonts w:ascii="Times New Roman" w:eastAsia="Times New Roman" w:hAnsi="Times New Roman" w:cs="Times New Roman"/>
          <w:color w:val="000000"/>
          <w:sz w:val="28"/>
          <w:szCs w:val="28"/>
          <w:lang w:val="en-SG"/>
        </w:rPr>
      </w:pPr>
      <w:r>
        <w:rPr>
          <w:rFonts w:ascii="Times New Roman" w:eastAsia="Times New Roman" w:hAnsi="Times New Roman" w:cs="Times New Roman"/>
          <w:color w:val="000000"/>
          <w:sz w:val="28"/>
          <w:szCs w:val="28"/>
        </w:rPr>
        <w:t>Cơ quan bảo hiểm xã hội phối hợp với cơ quan Lao động kiểm tra tại đơn vị trước khi quyết định phương thức đóng của đơn vị.</w:t>
      </w:r>
    </w:p>
    <w:p w14:paraId="5501B93E" w14:textId="77777777" w:rsidR="00AB2E24" w:rsidRPr="00AB2E24" w:rsidRDefault="00AB2E24" w:rsidP="00AB2E24">
      <w:pPr>
        <w:spacing w:after="0" w:line="360" w:lineRule="auto"/>
        <w:jc w:val="both"/>
        <w:rPr>
          <w:rFonts w:ascii="Times New Roman" w:eastAsia="Times New Roman" w:hAnsi="Times New Roman" w:cs="Times New Roman"/>
          <w:color w:val="000000"/>
          <w:sz w:val="28"/>
          <w:szCs w:val="28"/>
          <w:lang w:val="en-SG"/>
        </w:rPr>
      </w:pPr>
      <w:r w:rsidRPr="00AB2E24">
        <w:rPr>
          <w:rFonts w:ascii="Times New Roman" w:eastAsia="Times New Roman" w:hAnsi="Times New Roman" w:cs="Times New Roman"/>
          <w:color w:val="000000"/>
          <w:sz w:val="28"/>
          <w:szCs w:val="28"/>
          <w:lang w:val="en-SG"/>
        </w:rPr>
        <w:t>(Căn cứ pháp lý: Khoản 2 Điều 7 về Quy trình thu BHXH, BHYT, bảo hiểm thất nghiệp, bảo hiểm tai nạn lao động, bệnh nghề nghiệp; cấp sổ BHXH, thẻ BHYT do BHXH Việt Nam ban hành kèm theo Quyết định 595 được sửa đổi bởi khoản 13 Điều 1 Quyết định 505/QĐ-BHXH năm 2020)</w:t>
      </w:r>
    </w:p>
    <w:p w14:paraId="3E2C6AAC" w14:textId="77777777" w:rsidR="00AB2E24" w:rsidRPr="00AB2E24" w:rsidRDefault="00AB2E24" w:rsidP="00AB2E24">
      <w:pPr>
        <w:spacing w:after="0" w:line="360" w:lineRule="auto"/>
        <w:jc w:val="both"/>
        <w:rPr>
          <w:rFonts w:ascii="Times New Roman" w:eastAsia="Times New Roman" w:hAnsi="Times New Roman" w:cs="Times New Roman"/>
          <w:color w:val="000000"/>
          <w:sz w:val="28"/>
          <w:szCs w:val="28"/>
          <w:lang w:val="en-SG"/>
        </w:rPr>
      </w:pPr>
      <w:r w:rsidRPr="00AB2E24">
        <w:rPr>
          <w:rFonts w:ascii="Times New Roman" w:eastAsia="Times New Roman" w:hAnsi="Times New Roman" w:cs="Times New Roman"/>
          <w:b/>
          <w:bCs/>
          <w:color w:val="000000"/>
          <w:sz w:val="28"/>
          <w:szCs w:val="28"/>
          <w:lang w:val="en-SG"/>
        </w:rPr>
        <w:t>Lưu ý:</w:t>
      </w:r>
      <w:r w:rsidRPr="00AB2E24">
        <w:rPr>
          <w:rFonts w:ascii="Times New Roman" w:eastAsia="Times New Roman" w:hAnsi="Times New Roman" w:cs="Times New Roman"/>
          <w:color w:val="000000"/>
          <w:sz w:val="28"/>
          <w:szCs w:val="28"/>
          <w:lang w:val="en-SG"/>
        </w:rPr>
        <w:t> Giáo viên nếu đồng thời có từ 02 hợp đồng lao động trở lên thì:</w:t>
      </w:r>
    </w:p>
    <w:p w14:paraId="49051895" w14:textId="77777777" w:rsidR="00AB2E24" w:rsidRPr="00AB2E24" w:rsidRDefault="00AB2E24" w:rsidP="00AB2E24">
      <w:pPr>
        <w:spacing w:after="0" w:line="360" w:lineRule="auto"/>
        <w:jc w:val="both"/>
        <w:rPr>
          <w:rFonts w:ascii="Times New Roman" w:eastAsia="Times New Roman" w:hAnsi="Times New Roman" w:cs="Times New Roman"/>
          <w:color w:val="000000"/>
          <w:sz w:val="28"/>
          <w:szCs w:val="28"/>
          <w:lang w:val="en-SG"/>
        </w:rPr>
      </w:pPr>
      <w:r w:rsidRPr="00AB2E24">
        <w:rPr>
          <w:rFonts w:ascii="Times New Roman" w:eastAsia="Times New Roman" w:hAnsi="Times New Roman" w:cs="Times New Roman"/>
          <w:color w:val="000000"/>
          <w:sz w:val="28"/>
          <w:szCs w:val="28"/>
          <w:lang w:val="en-SG"/>
        </w:rPr>
        <w:t>- Đóng BHXH, bảo hiểm thất nghiệp theo hợp đồng lao động giao kết đầu tiên (thông thường là ở trường học dạy chính).</w:t>
      </w:r>
    </w:p>
    <w:p w14:paraId="638CECA2" w14:textId="77777777" w:rsidR="00AB2E24" w:rsidRPr="00AB2E24" w:rsidRDefault="00AB2E24" w:rsidP="00AB2E24">
      <w:pPr>
        <w:spacing w:after="0" w:line="360" w:lineRule="auto"/>
        <w:jc w:val="both"/>
        <w:rPr>
          <w:rFonts w:ascii="Times New Roman" w:eastAsia="Times New Roman" w:hAnsi="Times New Roman" w:cs="Times New Roman"/>
          <w:color w:val="000000"/>
          <w:sz w:val="28"/>
          <w:szCs w:val="28"/>
          <w:lang w:val="en-SG"/>
        </w:rPr>
      </w:pPr>
      <w:r w:rsidRPr="00AB2E24">
        <w:rPr>
          <w:rFonts w:ascii="Times New Roman" w:eastAsia="Times New Roman" w:hAnsi="Times New Roman" w:cs="Times New Roman"/>
          <w:color w:val="000000"/>
          <w:sz w:val="28"/>
          <w:szCs w:val="28"/>
          <w:lang w:val="en-SG"/>
        </w:rPr>
        <w:t>- Đóng bảo hiểm y tế theo hợp đồng có mức tiền lương cao nhất.</w:t>
      </w:r>
    </w:p>
    <w:p w14:paraId="305F0142" w14:textId="77777777" w:rsidR="00AB2E24" w:rsidRPr="00AB2E24" w:rsidRDefault="00AB2E24" w:rsidP="00AB2E24">
      <w:pPr>
        <w:spacing w:after="0" w:line="360" w:lineRule="auto"/>
        <w:jc w:val="both"/>
        <w:rPr>
          <w:rFonts w:ascii="Times New Roman" w:eastAsia="Times New Roman" w:hAnsi="Times New Roman" w:cs="Times New Roman"/>
          <w:color w:val="000000"/>
          <w:sz w:val="28"/>
          <w:szCs w:val="28"/>
          <w:lang w:val="en-SG"/>
        </w:rPr>
      </w:pPr>
      <w:r w:rsidRPr="00AB2E24">
        <w:rPr>
          <w:rFonts w:ascii="Times New Roman" w:eastAsia="Times New Roman" w:hAnsi="Times New Roman" w:cs="Times New Roman"/>
          <w:color w:val="000000"/>
          <w:sz w:val="28"/>
          <w:szCs w:val="28"/>
          <w:lang w:val="en-SG"/>
        </w:rPr>
        <w:t>- Đóng bảo hiểm tai nạn lao động, bệnh nghề nghiệp theo cả 02 hợp đồng.</w:t>
      </w:r>
    </w:p>
    <w:p w14:paraId="120F37F5" w14:textId="1F79A464" w:rsidR="00AB2E24" w:rsidRPr="00AB2E24" w:rsidRDefault="00AB2E24">
      <w:pPr>
        <w:spacing w:after="0" w:line="360" w:lineRule="auto"/>
        <w:jc w:val="both"/>
        <w:rPr>
          <w:rFonts w:ascii="Times New Roman" w:eastAsia="Times New Roman" w:hAnsi="Times New Roman" w:cs="Times New Roman"/>
          <w:color w:val="000000"/>
          <w:sz w:val="28"/>
          <w:szCs w:val="28"/>
          <w:lang w:val="en-SG"/>
        </w:rPr>
      </w:pPr>
      <w:r w:rsidRPr="00AB2E24">
        <w:rPr>
          <w:rFonts w:ascii="Times New Roman" w:eastAsia="Times New Roman" w:hAnsi="Times New Roman" w:cs="Times New Roman"/>
          <w:i/>
          <w:iCs/>
          <w:color w:val="000000"/>
          <w:sz w:val="28"/>
          <w:szCs w:val="28"/>
          <w:lang w:val="en-SG"/>
        </w:rPr>
        <w:t>(Căn cứ: Khoản 1 Điều 42 Quyết định 595/QĐ-BHXH)</w:t>
      </w:r>
    </w:p>
    <w:p w14:paraId="23E8BF0E" w14:textId="3D2B5A18" w:rsidR="000B21BA" w:rsidRDefault="00AB2E24" w:rsidP="00AB2E24">
      <w:pPr>
        <w:spacing w:after="0" w:line="360" w:lineRule="auto"/>
        <w:jc w:val="both"/>
        <w:rPr>
          <w:rFonts w:ascii="Times New Roman" w:eastAsia="Times New Roman" w:hAnsi="Times New Roman" w:cs="Times New Roman"/>
          <w:i/>
          <w:color w:val="000000"/>
          <w:sz w:val="28"/>
          <w:szCs w:val="28"/>
        </w:rPr>
      </w:pPr>
      <w:r w:rsidRPr="00AB2E24">
        <w:rPr>
          <w:rFonts w:ascii="Times New Roman" w:eastAsia="Times New Roman" w:hAnsi="Times New Roman" w:cs="Times New Roman"/>
          <w:i/>
          <w:color w:val="000000"/>
          <w:sz w:val="28"/>
          <w:szCs w:val="28"/>
        </w:rPr>
        <w:t xml:space="preserve">Trên đây là </w:t>
      </w:r>
      <w:r>
        <w:rPr>
          <w:rFonts w:ascii="Times New Roman" w:eastAsia="Times New Roman" w:hAnsi="Times New Roman" w:cs="Times New Roman"/>
          <w:i/>
          <w:color w:val="000000"/>
          <w:sz w:val="28"/>
          <w:szCs w:val="28"/>
          <w:lang w:val="en-SG"/>
        </w:rPr>
        <w:t>những cập nhật mới nhất của Vietjack về vấn đề “</w:t>
      </w:r>
      <w:r w:rsidRPr="00AB2E24">
        <w:rPr>
          <w:rFonts w:ascii="Times New Roman" w:eastAsia="Times New Roman" w:hAnsi="Times New Roman" w:cs="Times New Roman"/>
          <w:i/>
          <w:color w:val="000000"/>
          <w:sz w:val="28"/>
          <w:szCs w:val="28"/>
          <w:lang w:val="en-SG"/>
        </w:rPr>
        <w:t>Đăng ký hộ kinh doanh dạy thêm năm 2025 có phải đóng BHXH?</w:t>
      </w:r>
      <w:r>
        <w:rPr>
          <w:rFonts w:ascii="Times New Roman" w:eastAsia="Times New Roman" w:hAnsi="Times New Roman" w:cs="Times New Roman"/>
          <w:i/>
          <w:color w:val="000000"/>
          <w:sz w:val="28"/>
          <w:szCs w:val="28"/>
          <w:lang w:val="en-SG"/>
        </w:rPr>
        <w:t>”</w:t>
      </w:r>
      <w:r w:rsidRPr="00AB2E24">
        <w:rPr>
          <w:rFonts w:ascii="Times New Roman" w:eastAsia="Times New Roman" w:hAnsi="Times New Roman" w:cs="Times New Roman"/>
          <w:i/>
          <w:color w:val="000000"/>
          <w:sz w:val="28"/>
          <w:szCs w:val="28"/>
        </w:rPr>
        <w:t>. Mong rằng những chia sẻ này sẽ hữu ích cho bạn trong công việc. Hãy theo dõi Vietjack để không bỏ lỡ các cập nhật quan trọng về giáo dục khác trong tương lai!</w:t>
      </w:r>
    </w:p>
    <w:sectPr w:rsidR="000B21BA" w:rsidSect="00AB2E24">
      <w:pgSz w:w="12240" w:h="15840" w:code="1"/>
      <w:pgMar w:top="1134" w:right="1134" w:bottom="1134"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1BA"/>
    <w:rsid w:val="000B21BA"/>
    <w:rsid w:val="00811384"/>
    <w:rsid w:val="00AB2E24"/>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50B9D"/>
  <w15:docId w15:val="{0ABDCE08-8D7B-47FE-9ED7-DEBA0B32E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eastAsia="en-SG"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2F5496"/>
    </w:rPr>
  </w:style>
  <w:style w:type="paragraph" w:styleId="Heading6">
    <w:name w:val="heading 6"/>
    <w:basedOn w:val="Normal"/>
    <w:next w:val="Normal"/>
    <w:link w:val="Heading6Char"/>
    <w:uiPriority w:val="9"/>
    <w:semiHidden/>
    <w:unhideWhenUsed/>
    <w:qFormat/>
    <w:pPr>
      <w:keepNext/>
      <w:keepLines/>
      <w:spacing w:before="40" w:after="0"/>
      <w:outlineLvl w:val="5"/>
    </w:pPr>
    <w:rPr>
      <w:i/>
      <w:color w:val="595959"/>
    </w:rPr>
  </w:style>
  <w:style w:type="paragraph" w:styleId="Heading7">
    <w:name w:val="heading 7"/>
    <w:basedOn w:val="Normal"/>
    <w:next w:val="Normal"/>
    <w:link w:val="Heading7Char"/>
    <w:uiPriority w:val="9"/>
    <w:semiHidden/>
    <w:unhideWhenUsed/>
    <w:qFormat/>
    <w:rsid w:val="00C162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62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62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sz w:val="56"/>
      <w:szCs w:val="56"/>
    </w:rPr>
  </w:style>
  <w:style w:type="character" w:customStyle="1" w:styleId="Heading1Char">
    <w:name w:val="Heading 1 Char"/>
    <w:basedOn w:val="DefaultParagraphFont"/>
    <w:link w:val="Heading1"/>
    <w:uiPriority w:val="9"/>
    <w:rsid w:val="00C1621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1621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C1621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1621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1621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162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62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62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621B"/>
    <w:rPr>
      <w:rFonts w:eastAsiaTheme="majorEastAsia" w:cstheme="majorBidi"/>
      <w:color w:val="272727" w:themeColor="text1" w:themeTint="D8"/>
    </w:rPr>
  </w:style>
  <w:style w:type="character" w:customStyle="1" w:styleId="TitleChar">
    <w:name w:val="Title Char"/>
    <w:basedOn w:val="DefaultParagraphFont"/>
    <w:link w:val="Title"/>
    <w:uiPriority w:val="10"/>
    <w:rsid w:val="00C1621B"/>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C162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621B"/>
    <w:pPr>
      <w:spacing w:before="160"/>
      <w:jc w:val="center"/>
    </w:pPr>
    <w:rPr>
      <w:i/>
      <w:iCs/>
      <w:color w:val="404040" w:themeColor="text1" w:themeTint="BF"/>
    </w:rPr>
  </w:style>
  <w:style w:type="character" w:customStyle="1" w:styleId="QuoteChar">
    <w:name w:val="Quote Char"/>
    <w:basedOn w:val="DefaultParagraphFont"/>
    <w:link w:val="Quote"/>
    <w:uiPriority w:val="29"/>
    <w:rsid w:val="00C1621B"/>
    <w:rPr>
      <w:i/>
      <w:iCs/>
      <w:color w:val="404040" w:themeColor="text1" w:themeTint="BF"/>
    </w:rPr>
  </w:style>
  <w:style w:type="paragraph" w:styleId="ListParagraph">
    <w:name w:val="List Paragraph"/>
    <w:basedOn w:val="Normal"/>
    <w:uiPriority w:val="34"/>
    <w:qFormat/>
    <w:rsid w:val="00C1621B"/>
    <w:pPr>
      <w:ind w:left="720"/>
      <w:contextualSpacing/>
    </w:pPr>
  </w:style>
  <w:style w:type="character" w:styleId="IntenseEmphasis">
    <w:name w:val="Intense Emphasis"/>
    <w:basedOn w:val="DefaultParagraphFont"/>
    <w:uiPriority w:val="21"/>
    <w:qFormat/>
    <w:rsid w:val="00C1621B"/>
    <w:rPr>
      <w:i/>
      <w:iCs/>
      <w:color w:val="2F5496" w:themeColor="accent1" w:themeShade="BF"/>
    </w:rPr>
  </w:style>
  <w:style w:type="paragraph" w:styleId="IntenseQuote">
    <w:name w:val="Intense Quote"/>
    <w:basedOn w:val="Normal"/>
    <w:next w:val="Normal"/>
    <w:link w:val="IntenseQuoteChar"/>
    <w:uiPriority w:val="30"/>
    <w:qFormat/>
    <w:rsid w:val="00C162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1621B"/>
    <w:rPr>
      <w:i/>
      <w:iCs/>
      <w:color w:val="2F5496" w:themeColor="accent1" w:themeShade="BF"/>
    </w:rPr>
  </w:style>
  <w:style w:type="character" w:styleId="IntenseReference">
    <w:name w:val="Intense Reference"/>
    <w:basedOn w:val="DefaultParagraphFont"/>
    <w:uiPriority w:val="32"/>
    <w:qFormat/>
    <w:rsid w:val="00C1621B"/>
    <w:rPr>
      <w:b/>
      <w:bCs/>
      <w:smallCaps/>
      <w:color w:val="2F5496" w:themeColor="accent1" w:themeShade="BF"/>
      <w:spacing w:val="5"/>
    </w:rPr>
  </w:style>
  <w:style w:type="character" w:customStyle="1" w:styleId="apple-converted-space">
    <w:name w:val="apple-converted-space"/>
    <w:basedOn w:val="DefaultParagraphFont"/>
    <w:rsid w:val="00C1621B"/>
  </w:style>
  <w:style w:type="character" w:styleId="Strong">
    <w:name w:val="Strong"/>
    <w:basedOn w:val="DefaultParagraphFont"/>
    <w:uiPriority w:val="22"/>
    <w:qFormat/>
    <w:rsid w:val="00C1621B"/>
    <w:rPr>
      <w:b/>
      <w:bCs/>
    </w:rPr>
  </w:style>
  <w:style w:type="paragraph" w:styleId="NormalWeb">
    <w:name w:val="Normal (Web)"/>
    <w:basedOn w:val="Normal"/>
    <w:uiPriority w:val="99"/>
    <w:semiHidden/>
    <w:unhideWhenUsed/>
    <w:rsid w:val="00C1621B"/>
    <w:pPr>
      <w:spacing w:before="100" w:beforeAutospacing="1" w:after="100" w:afterAutospacing="1" w:line="240" w:lineRule="auto"/>
    </w:pPr>
    <w:rPr>
      <w:rFonts w:ascii="Times New Roman" w:eastAsia="Times New Roman" w:hAnsi="Times New Roman" w:cs="Times New Roman"/>
    </w:rPr>
  </w:style>
  <w:style w:type="character" w:styleId="Hyperlink">
    <w:name w:val="Hyperlink"/>
    <w:basedOn w:val="DefaultParagraphFont"/>
    <w:uiPriority w:val="99"/>
    <w:semiHidden/>
    <w:unhideWhenUsed/>
    <w:rsid w:val="00C1621B"/>
    <w:rPr>
      <w:color w:val="0000FF"/>
      <w:u w:val="single"/>
    </w:rPr>
  </w:style>
  <w:style w:type="paragraph" w:customStyle="1" w:styleId="adbro-feedbackitem">
    <w:name w:val="adbro-feedback__item"/>
    <w:basedOn w:val="Normal"/>
    <w:rsid w:val="00C1621B"/>
    <w:pPr>
      <w:spacing w:before="100" w:beforeAutospacing="1" w:after="100" w:afterAutospacing="1" w:line="240" w:lineRule="auto"/>
    </w:pPr>
    <w:rPr>
      <w:rFonts w:ascii="Times New Roman" w:eastAsia="Times New Roman" w:hAnsi="Times New Roman" w:cs="Times New Roman"/>
    </w:rPr>
  </w:style>
  <w:style w:type="character" w:styleId="Emphasis">
    <w:name w:val="Emphasis"/>
    <w:basedOn w:val="DefaultParagraphFont"/>
    <w:uiPriority w:val="20"/>
    <w:qFormat/>
    <w:rsid w:val="00C1621B"/>
    <w:rPr>
      <w:i/>
      <w:iCs/>
    </w:rPr>
  </w:style>
  <w:style w:type="paragraph" w:styleId="Subtitle">
    <w:name w:val="Subtitle"/>
    <w:basedOn w:val="Normal"/>
    <w:next w:val="Normal"/>
    <w:link w:val="SubtitleChar"/>
    <w:uiPriority w:val="11"/>
    <w:qFormat/>
    <w:rPr>
      <w:color w:val="595959"/>
      <w:sz w:val="28"/>
      <w:szCs w:val="2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luatvietnam.vn/bao-hiem/quyet-dinh-595-qd-bhxh-bao-hiem-xa-hoi-viet-nam-114106-d1.html" TargetMode="External"/><Relationship Id="rId3" Type="http://schemas.openxmlformats.org/officeDocument/2006/relationships/settings" Target="settings.xml"/><Relationship Id="rId7" Type="http://schemas.openxmlformats.org/officeDocument/2006/relationships/hyperlink" Target="https://luatvietnam.vn/lao-dong/nghi-dinh-58-2020-nd-cp-muc-dong-bao-hiem-tai-nan-benh-nghe-nghiep-183928-d1.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luatvietnam.vn/lao-dong/luat-bao-hiem-xa-hoi-2024-360809-d1.html"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luatvietnam.vn/bao-hiem/quyet-dinh-505-qd-bhxh-sua-doi-quy-trinh-thu-bao-hiem-theo-quyet-dinh-595-qd-bhxh-183765-d1.html" TargetMode="External"/><Relationship Id="rId4" Type="http://schemas.openxmlformats.org/officeDocument/2006/relationships/webSettings" Target="webSettings.xml"/><Relationship Id="rId9" Type="http://schemas.openxmlformats.org/officeDocument/2006/relationships/hyperlink" Target="https://luatvietnam.vn/bao-hiem/quyet-dinh-595-qd-bhxh-bao-hiem-xa-hoi-viet-nam-114106-d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V1z3DlxGyUoDOLNkOc4Us+zrWw==">CgMxLjA4AHIhMUdmS1FjZ3k3LUhWNi1tYnk5MV9MMXRiYnA3aGZ2T2hB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878</Words>
  <Characters>5009</Characters>
  <Application>Microsoft Office Word</Application>
  <DocSecurity>0</DocSecurity>
  <Lines>41</Lines>
  <Paragraphs>11</Paragraphs>
  <ScaleCrop>false</ScaleCrop>
  <Company/>
  <LinksUpToDate>false</LinksUpToDate>
  <CharactersWithSpaces>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Ngọc a</dc:creator>
  <cp:lastModifiedBy>Nguyen Phuong Anh</cp:lastModifiedBy>
  <cp:revision>2</cp:revision>
  <dcterms:created xsi:type="dcterms:W3CDTF">2025-10-22T02:31:00Z</dcterms:created>
  <dcterms:modified xsi:type="dcterms:W3CDTF">2025-10-22T02:31:00Z</dcterms:modified>
</cp:coreProperties>
</file>