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C3" w:rsidRPr="00F420C3" w:rsidRDefault="00F420C3" w:rsidP="00F420C3">
      <w:pPr>
        <w:widowControl w:val="0"/>
        <w:spacing w:beforeLines="50" w:before="120" w:afterLines="5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Giáo viên là công chức hay viên chức?</w:t>
      </w:r>
    </w:p>
    <w:p w:rsidR="00F420C3" w:rsidRPr="00F420C3" w:rsidRDefault="00F420C3" w:rsidP="00F420C3">
      <w:pPr>
        <w:widowControl w:val="0"/>
        <w:spacing w:beforeLines="50" w:before="120" w:afterLines="50" w:after="120" w:line="240" w:lineRule="auto"/>
        <w:jc w:val="both"/>
        <w:rPr>
          <w:rFonts w:ascii="Times New Roman" w:hAnsi="Times New Roman" w:cs="Times New Roman"/>
          <w:b/>
          <w:bCs/>
          <w:sz w:val="28"/>
          <w:szCs w:val="28"/>
        </w:rPr>
      </w:pPr>
      <w:r w:rsidRPr="00F420C3">
        <w:rPr>
          <w:rFonts w:ascii="Times New Roman" w:hAnsi="Times New Roman" w:cs="Times New Roman"/>
          <w:b/>
          <w:bCs/>
          <w:sz w:val="28"/>
          <w:szCs w:val="28"/>
        </w:rPr>
        <w:t>Công chức là gì hay viên chức là gì? Đây vẫn là những khái niệm mà nhiều người vẫn chưa nắm rõ. Trong bài viế</w:t>
      </w:r>
      <w:r>
        <w:rPr>
          <w:rFonts w:ascii="Times New Roman" w:hAnsi="Times New Roman" w:cs="Times New Roman"/>
          <w:b/>
          <w:bCs/>
          <w:sz w:val="28"/>
          <w:szCs w:val="28"/>
        </w:rPr>
        <w:t>t này</w:t>
      </w:r>
      <w:r w:rsidRPr="00F420C3">
        <w:rPr>
          <w:rFonts w:ascii="Times New Roman" w:hAnsi="Times New Roman" w:cs="Times New Roman"/>
          <w:b/>
          <w:bCs/>
          <w:sz w:val="28"/>
          <w:szCs w:val="28"/>
        </w:rPr>
        <w:t xml:space="preserve"> sẽ </w:t>
      </w:r>
      <w:r>
        <w:rPr>
          <w:rFonts w:ascii="Times New Roman" w:hAnsi="Times New Roman" w:cs="Times New Roman"/>
          <w:b/>
          <w:bCs/>
          <w:sz w:val="28"/>
          <w:szCs w:val="28"/>
        </w:rPr>
        <w:t>chỉ rõ “Giáo viên là công chức hay viên chức”</w:t>
      </w:r>
      <w:bookmarkStart w:id="0" w:name="_GoBack"/>
      <w:bookmarkEnd w:id="0"/>
      <w:r w:rsidRPr="00F420C3">
        <w:rPr>
          <w:rFonts w:ascii="Times New Roman" w:hAnsi="Times New Roman" w:cs="Times New Roman"/>
          <w:b/>
          <w:bCs/>
          <w:sz w:val="28"/>
          <w:szCs w:val="28"/>
        </w:rPr>
        <w:t>.</w:t>
      </w:r>
    </w:p>
    <w:p w:rsidR="00F420C3" w:rsidRPr="00F420C3" w:rsidRDefault="00F420C3" w:rsidP="00F420C3">
      <w:pPr>
        <w:widowControl w:val="0"/>
        <w:spacing w:beforeLines="50" w:before="120" w:afterLines="50" w:after="120" w:line="240" w:lineRule="auto"/>
        <w:jc w:val="both"/>
        <w:rPr>
          <w:rFonts w:ascii="Times New Roman" w:hAnsi="Times New Roman" w:cs="Times New Roman"/>
          <w:b/>
          <w:bCs/>
          <w:sz w:val="28"/>
          <w:szCs w:val="28"/>
        </w:rPr>
      </w:pPr>
      <w:r w:rsidRPr="00F420C3">
        <w:rPr>
          <w:rFonts w:ascii="Times New Roman" w:hAnsi="Times New Roman" w:cs="Times New Roman"/>
          <w:b/>
          <w:bCs/>
          <w:sz w:val="28"/>
          <w:szCs w:val="28"/>
        </w:rPr>
        <w:t>1. Công chức là gì</w:t>
      </w:r>
    </w:p>
    <w:p w:rsidR="00F420C3" w:rsidRPr="00F420C3" w:rsidRDefault="00F420C3" w:rsidP="00F420C3">
      <w:pPr>
        <w:widowControl w:val="0"/>
        <w:spacing w:beforeLines="50" w:before="120" w:afterLines="50" w:after="120" w:line="240" w:lineRule="auto"/>
        <w:jc w:val="both"/>
        <w:rPr>
          <w:rFonts w:ascii="Times New Roman" w:hAnsi="Times New Roman" w:cs="Times New Roman"/>
          <w:b/>
          <w:bCs/>
          <w:sz w:val="28"/>
          <w:szCs w:val="28"/>
        </w:rPr>
      </w:pPr>
      <w:r w:rsidRPr="00F420C3">
        <w:rPr>
          <w:rFonts w:ascii="Times New Roman" w:hAnsi="Times New Roman" w:cs="Times New Roman"/>
          <w:b/>
          <w:bCs/>
          <w:sz w:val="28"/>
          <w:szCs w:val="28"/>
        </w:rPr>
        <w:t xml:space="preserve">Và căn cứ theo Điều 4 </w:t>
      </w:r>
      <w:r w:rsidRPr="00F420C3">
        <w:rPr>
          <w:rFonts w:ascii="Times New Roman" w:hAnsi="Times New Roman" w:cs="Times New Roman"/>
          <w:b/>
          <w:bCs/>
          <w:sz w:val="28"/>
          <w:szCs w:val="28"/>
        </w:rPr>
        <w:t>Luật cán bộ công chức năm 2008</w:t>
      </w:r>
      <w:r w:rsidRPr="00F420C3">
        <w:rPr>
          <w:rFonts w:ascii="Times New Roman" w:hAnsi="Times New Roman" w:cs="Times New Roman"/>
          <w:b/>
          <w:bCs/>
          <w:sz w:val="28"/>
          <w:szCs w:val="28"/>
        </w:rPr>
        <w:t xml:space="preserve"> quy định về cán bộ, công chức như sau:</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chuyên nghiệp và trong bộ máy lãnh đạo, quản lý của đơn vị sự nghiệp công lập của Đảng Cộng sản Việt Nam, Nhà nước, tổ chức chính trị – xã hội (sau đây gọi chung là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w:t>
      </w:r>
    </w:p>
    <w:p w:rsidR="00F420C3" w:rsidRPr="00F420C3" w:rsidRDefault="00F420C3" w:rsidP="00F420C3">
      <w:pPr>
        <w:widowControl w:val="0"/>
        <w:spacing w:beforeLines="50" w:before="120" w:afterLines="50" w:after="120" w:line="240" w:lineRule="auto"/>
        <w:jc w:val="both"/>
        <w:rPr>
          <w:rFonts w:ascii="Times New Roman" w:hAnsi="Times New Roman" w:cs="Times New Roman"/>
          <w:b/>
          <w:bCs/>
          <w:sz w:val="28"/>
          <w:szCs w:val="28"/>
        </w:rPr>
      </w:pPr>
      <w:r w:rsidRPr="00F420C3">
        <w:rPr>
          <w:rFonts w:ascii="Times New Roman" w:hAnsi="Times New Roman" w:cs="Times New Roman"/>
          <w:b/>
          <w:bCs/>
          <w:sz w:val="28"/>
          <w:szCs w:val="28"/>
        </w:rPr>
        <w:t>2. Viên chức là gì</w:t>
      </w:r>
    </w:p>
    <w:p w:rsidR="00F420C3" w:rsidRPr="00F420C3" w:rsidRDefault="00F420C3" w:rsidP="00F420C3">
      <w:pPr>
        <w:widowControl w:val="0"/>
        <w:spacing w:beforeLines="50" w:before="120" w:afterLines="50" w:after="120" w:line="240" w:lineRule="auto"/>
        <w:jc w:val="both"/>
        <w:rPr>
          <w:rFonts w:ascii="Times New Roman" w:hAnsi="Times New Roman" w:cs="Times New Roman"/>
          <w:b/>
          <w:bCs/>
          <w:sz w:val="28"/>
          <w:szCs w:val="28"/>
        </w:rPr>
      </w:pPr>
      <w:r w:rsidRPr="00F420C3">
        <w:rPr>
          <w:rFonts w:ascii="Times New Roman" w:hAnsi="Times New Roman" w:cs="Times New Roman"/>
          <w:b/>
          <w:bCs/>
          <w:sz w:val="28"/>
          <w:szCs w:val="28"/>
        </w:rPr>
        <w:t xml:space="preserve">Căn cứ theo Điều 2, </w:t>
      </w:r>
      <w:r w:rsidRPr="00F420C3">
        <w:rPr>
          <w:rFonts w:ascii="Times New Roman" w:hAnsi="Times New Roman" w:cs="Times New Roman"/>
          <w:b/>
          <w:bCs/>
          <w:sz w:val="28"/>
          <w:szCs w:val="28"/>
        </w:rPr>
        <w:t>Luật viên chức năm 2010</w:t>
      </w:r>
      <w:r w:rsidRPr="00F420C3">
        <w:rPr>
          <w:rFonts w:ascii="Times New Roman" w:hAnsi="Times New Roman" w:cs="Times New Roman"/>
          <w:b/>
          <w:bCs/>
          <w:sz w:val="28"/>
          <w:szCs w:val="28"/>
        </w:rPr>
        <w:t xml:space="preserve"> quy định về viên chức như sau:</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rsid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Viên chức được bổ nhiệm vào một chức danh nghề nghiệp, chức vụ quản lý (trừ các chức vụ quy định là công chức). Viên chức là người thực hiện các công việc hoặc nhiệm vụ có yêu cầu về năng lực, kỹ năng chuyên môn, nghiệp vụ trong các đơn vị sự nghiệp công lập thuộc các lĩnh vực: giáo dục, đào tạo, y tế, khoa học, công nghệ, văn hóa, thể dục thể thao, du lịch, lao động - thương binh và xã hội, thông tin - truyền thông, tài nguyên môi trường, dịch vụ...</w:t>
      </w:r>
    </w:p>
    <w:p w:rsidR="00F420C3" w:rsidRDefault="00F420C3" w:rsidP="00F420C3">
      <w:pPr>
        <w:widowControl w:val="0"/>
        <w:spacing w:beforeLines="50" w:before="120" w:afterLines="50" w:after="120" w:line="240" w:lineRule="auto"/>
        <w:jc w:val="both"/>
        <w:rPr>
          <w:rFonts w:ascii="Times New Roman" w:hAnsi="Times New Roman" w:cs="Times New Roman"/>
          <w:sz w:val="28"/>
          <w:szCs w:val="28"/>
        </w:rPr>
      </w:pPr>
    </w:p>
    <w:p w:rsidR="00F420C3" w:rsidRDefault="00F420C3" w:rsidP="00F420C3">
      <w:pPr>
        <w:widowControl w:val="0"/>
        <w:spacing w:beforeLines="50" w:before="120" w:afterLines="50" w:after="120" w:line="240" w:lineRule="auto"/>
        <w:jc w:val="both"/>
        <w:rPr>
          <w:rFonts w:ascii="Times New Roman" w:hAnsi="Times New Roman" w:cs="Times New Roman"/>
          <w:sz w:val="28"/>
          <w:szCs w:val="28"/>
        </w:rPr>
      </w:pPr>
    </w:p>
    <w:p w:rsidR="00F420C3" w:rsidRDefault="00F420C3" w:rsidP="00F420C3">
      <w:pPr>
        <w:widowControl w:val="0"/>
        <w:spacing w:beforeLines="50" w:before="120" w:afterLines="50" w:after="120" w:line="240" w:lineRule="auto"/>
        <w:jc w:val="both"/>
        <w:rPr>
          <w:rFonts w:ascii="Times New Roman" w:hAnsi="Times New Roman" w:cs="Times New Roman"/>
          <w:sz w:val="28"/>
          <w:szCs w:val="28"/>
        </w:rPr>
      </w:pPr>
    </w:p>
    <w:p w:rsidR="00F420C3" w:rsidRDefault="00F420C3" w:rsidP="00F420C3">
      <w:pPr>
        <w:widowControl w:val="0"/>
        <w:spacing w:beforeLines="50" w:before="120" w:afterLines="50" w:after="120" w:line="240" w:lineRule="auto"/>
        <w:jc w:val="both"/>
        <w:rPr>
          <w:rFonts w:ascii="Times New Roman" w:hAnsi="Times New Roman" w:cs="Times New Roman"/>
          <w:sz w:val="28"/>
          <w:szCs w:val="28"/>
        </w:rPr>
      </w:pPr>
    </w:p>
    <w:p w:rsidR="00F420C3" w:rsidRDefault="00F420C3" w:rsidP="00F420C3">
      <w:pPr>
        <w:widowControl w:val="0"/>
        <w:spacing w:beforeLines="50" w:before="120" w:afterLines="50" w:after="120" w:line="240" w:lineRule="auto"/>
        <w:jc w:val="both"/>
        <w:rPr>
          <w:rFonts w:ascii="Times New Roman" w:hAnsi="Times New Roman" w:cs="Times New Roman"/>
          <w:sz w:val="28"/>
          <w:szCs w:val="28"/>
        </w:rPr>
      </w:pPr>
    </w:p>
    <w:p w:rsidR="00F420C3" w:rsidRDefault="00F420C3" w:rsidP="00F420C3">
      <w:pPr>
        <w:widowControl w:val="0"/>
        <w:spacing w:beforeLines="50" w:before="120" w:afterLines="50" w:after="120" w:line="240" w:lineRule="auto"/>
        <w:jc w:val="both"/>
        <w:rPr>
          <w:rFonts w:ascii="Times New Roman" w:hAnsi="Times New Roman" w:cs="Times New Roman"/>
          <w:sz w:val="28"/>
          <w:szCs w:val="28"/>
        </w:rPr>
      </w:pP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p>
    <w:p w:rsidR="00F420C3" w:rsidRPr="00F420C3" w:rsidRDefault="00F420C3" w:rsidP="00F420C3">
      <w:pPr>
        <w:widowControl w:val="0"/>
        <w:spacing w:beforeLines="50" w:before="120" w:afterLines="50" w:after="120" w:line="240" w:lineRule="auto"/>
        <w:rPr>
          <w:rFonts w:ascii="Times New Roman" w:hAnsi="Times New Roman" w:cs="Times New Roman"/>
          <w:b/>
          <w:bCs/>
          <w:sz w:val="28"/>
          <w:szCs w:val="28"/>
        </w:rPr>
      </w:pPr>
      <w:r w:rsidRPr="00F420C3">
        <w:rPr>
          <w:rFonts w:ascii="Times New Roman" w:hAnsi="Times New Roman" w:cs="Times New Roman"/>
          <w:b/>
          <w:bCs/>
          <w:sz w:val="28"/>
          <w:szCs w:val="28"/>
        </w:rPr>
        <w:lastRenderedPageBreak/>
        <w:t>3. So sánh giữa viên chức và công chức</w:t>
      </w:r>
    </w:p>
    <w:tbl>
      <w:tblPr>
        <w:tblStyle w:val="TableGrid"/>
        <w:tblW w:w="9715" w:type="dxa"/>
        <w:tblInd w:w="0" w:type="dxa"/>
        <w:tblLayout w:type="fixed"/>
        <w:tblLook w:val="0000" w:firstRow="0" w:lastRow="0" w:firstColumn="0" w:lastColumn="0" w:noHBand="0" w:noVBand="0"/>
      </w:tblPr>
      <w:tblGrid>
        <w:gridCol w:w="2785"/>
        <w:gridCol w:w="3464"/>
        <w:gridCol w:w="3466"/>
      </w:tblGrid>
      <w:tr w:rsidR="00F420C3" w:rsidRPr="00F420C3" w:rsidTr="00F420C3">
        <w:trPr>
          <w:trHeight w:val="560"/>
        </w:trPr>
        <w:tc>
          <w:tcPr>
            <w:tcW w:w="2785" w:type="dxa"/>
          </w:tcPr>
          <w:p w:rsidR="00F420C3" w:rsidRPr="00F420C3" w:rsidRDefault="00F420C3" w:rsidP="00F420C3">
            <w:pPr>
              <w:pStyle w:val="NormalWeb"/>
              <w:widowControl/>
              <w:spacing w:before="120" w:beforeAutospacing="0" w:after="120" w:afterAutospacing="0" w:line="300" w:lineRule="atLeast"/>
              <w:rPr>
                <w:sz w:val="28"/>
                <w:szCs w:val="28"/>
              </w:rPr>
            </w:pPr>
          </w:p>
        </w:tc>
        <w:tc>
          <w:tcPr>
            <w:tcW w:w="3464" w:type="dxa"/>
          </w:tcPr>
          <w:p w:rsidR="00F420C3" w:rsidRPr="00F420C3" w:rsidRDefault="00F420C3" w:rsidP="00F420C3">
            <w:pPr>
              <w:pStyle w:val="NormalWeb"/>
              <w:widowControl/>
              <w:spacing w:before="120" w:beforeAutospacing="0" w:after="120" w:afterAutospacing="0" w:line="300" w:lineRule="atLeast"/>
              <w:jc w:val="center"/>
              <w:rPr>
                <w:b/>
                <w:bCs/>
                <w:sz w:val="28"/>
                <w:szCs w:val="28"/>
              </w:rPr>
            </w:pPr>
            <w:r w:rsidRPr="00F420C3">
              <w:rPr>
                <w:b/>
                <w:bCs/>
                <w:sz w:val="28"/>
                <w:szCs w:val="28"/>
              </w:rPr>
              <w:t>Công chức</w:t>
            </w:r>
          </w:p>
        </w:tc>
        <w:tc>
          <w:tcPr>
            <w:tcW w:w="3466" w:type="dxa"/>
          </w:tcPr>
          <w:p w:rsidR="00F420C3" w:rsidRPr="00F420C3" w:rsidRDefault="00F420C3" w:rsidP="00F420C3">
            <w:pPr>
              <w:pStyle w:val="NormalWeb"/>
              <w:widowControl/>
              <w:spacing w:before="120" w:beforeAutospacing="0" w:after="120" w:afterAutospacing="0" w:line="300" w:lineRule="atLeast"/>
              <w:jc w:val="center"/>
              <w:rPr>
                <w:b/>
                <w:bCs/>
                <w:sz w:val="28"/>
                <w:szCs w:val="28"/>
              </w:rPr>
            </w:pPr>
            <w:r w:rsidRPr="00F420C3">
              <w:rPr>
                <w:b/>
                <w:bCs/>
                <w:sz w:val="28"/>
                <w:szCs w:val="28"/>
              </w:rPr>
              <w:t>Viên chức</w:t>
            </w:r>
          </w:p>
        </w:tc>
      </w:tr>
      <w:tr w:rsidR="00F420C3" w:rsidRPr="00F420C3" w:rsidTr="00F420C3">
        <w:trPr>
          <w:trHeight w:val="893"/>
        </w:trPr>
        <w:tc>
          <w:tcPr>
            <w:tcW w:w="2785"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Nơi làm việc</w:t>
            </w:r>
          </w:p>
        </w:tc>
        <w:tc>
          <w:tcPr>
            <w:tcW w:w="3464"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Cơ quan nhà nước, Tổ chức chính trị - xã hội</w:t>
            </w:r>
          </w:p>
        </w:tc>
        <w:tc>
          <w:tcPr>
            <w:tcW w:w="3466"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Đơn vị sự nghiệp công lập</w:t>
            </w:r>
          </w:p>
        </w:tc>
      </w:tr>
      <w:tr w:rsidR="00F420C3" w:rsidRPr="00F420C3" w:rsidTr="00F420C3">
        <w:trPr>
          <w:trHeight w:val="5799"/>
        </w:trPr>
        <w:tc>
          <w:tcPr>
            <w:tcW w:w="2785"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Công tác tuyển dụng</w:t>
            </w:r>
          </w:p>
        </w:tc>
        <w:tc>
          <w:tcPr>
            <w:tcW w:w="3464"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 Căn cứ vào yêu cầu nhiệm vụ, vị trí việc làm và chỉ tiêu biên chế.</w:t>
            </w:r>
          </w:p>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 Thực hiện thông qua thi tuyển và xét tuyển trong trường hợp đặc biệt theo Điều 36 Luật Cán bộ Công chức 2008.</w:t>
            </w:r>
          </w:p>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 Hình thức, nội dung thi tuyển công chức phải phù hợp với ngành, nghề, bảo đảm lựa chọn được những người có phẩm chất, trình độ và năng lực đáp ứng yêu cầu tuyển dụng.</w:t>
            </w:r>
          </w:p>
        </w:tc>
        <w:tc>
          <w:tcPr>
            <w:tcW w:w="3466"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 Căn cứ vào nhu cầu công việc, vị trí việc làm, tiêu chuẩn chức danh nghề nghiệp và quỹ tiền lương của đơn vị sự nghiệp công lập</w:t>
            </w:r>
          </w:p>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 Thực hiện thông qua thi tuyển hoặc xét tuyển.</w:t>
            </w:r>
          </w:p>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 Bảo đảm tính cạnh tranh, công khai, minh bạch.</w:t>
            </w:r>
          </w:p>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 Căn cứ vào kết quả tuyển dụng, người đứng đầu đơn vị sự nghiệp công lập ký kết hợp đồng làm việc với người trúng tuyển vào viên chức.</w:t>
            </w:r>
          </w:p>
        </w:tc>
      </w:tr>
      <w:tr w:rsidR="00F420C3" w:rsidRPr="00F420C3" w:rsidTr="00F420C3">
        <w:trPr>
          <w:trHeight w:val="878"/>
        </w:trPr>
        <w:tc>
          <w:tcPr>
            <w:tcW w:w="2785" w:type="dxa"/>
          </w:tcPr>
          <w:p w:rsidR="00F420C3" w:rsidRPr="00F420C3" w:rsidRDefault="00F420C3" w:rsidP="00F420C3">
            <w:pPr>
              <w:pStyle w:val="NormalWeb"/>
              <w:widowControl/>
              <w:spacing w:before="120" w:beforeAutospacing="0" w:after="120" w:afterAutospacing="0" w:line="300" w:lineRule="atLeast"/>
              <w:rPr>
                <w:sz w:val="28"/>
                <w:szCs w:val="28"/>
              </w:rPr>
            </w:pPr>
            <w:r>
              <w:rPr>
                <w:sz w:val="28"/>
                <w:szCs w:val="28"/>
              </w:rPr>
              <w:t>Tính chất nghề nghiệp</w:t>
            </w:r>
          </w:p>
        </w:tc>
        <w:tc>
          <w:tcPr>
            <w:tcW w:w="3464"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Hoạt động công vụ và quản lý nhà nước.</w:t>
            </w:r>
          </w:p>
        </w:tc>
        <w:tc>
          <w:tcPr>
            <w:tcW w:w="3466"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Hoạt động nghề nghiệp, chuyên môn</w:t>
            </w:r>
          </w:p>
        </w:tc>
      </w:tr>
      <w:tr w:rsidR="00F420C3" w:rsidRPr="00F420C3" w:rsidTr="00F420C3">
        <w:trPr>
          <w:trHeight w:val="1211"/>
        </w:trPr>
        <w:tc>
          <w:tcPr>
            <w:tcW w:w="2785"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Nguồn lương</w:t>
            </w:r>
          </w:p>
        </w:tc>
        <w:tc>
          <w:tcPr>
            <w:tcW w:w="3464"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Ngân sách nhà nước hoặc quỹ lương của Đơn vị sự nghiệp công lập.</w:t>
            </w:r>
          </w:p>
        </w:tc>
        <w:tc>
          <w:tcPr>
            <w:tcW w:w="3466"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Viên chức là từ quỹ lương của đơn vị sự nghiệp công lập.</w:t>
            </w:r>
          </w:p>
        </w:tc>
      </w:tr>
      <w:tr w:rsidR="00F420C3" w:rsidRPr="00F420C3" w:rsidTr="00F420C3">
        <w:trPr>
          <w:trHeight w:val="893"/>
        </w:trPr>
        <w:tc>
          <w:tcPr>
            <w:tcW w:w="2785"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Chế độ làm việc</w:t>
            </w:r>
          </w:p>
        </w:tc>
        <w:tc>
          <w:tcPr>
            <w:tcW w:w="3464"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Bổ nhiệm vào ngạch, chức vụ, chức danh</w:t>
            </w:r>
          </w:p>
        </w:tc>
        <w:tc>
          <w:tcPr>
            <w:tcW w:w="3466"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Phân hạng theo chế độ hợp đồng</w:t>
            </w:r>
          </w:p>
        </w:tc>
      </w:tr>
      <w:tr w:rsidR="00F420C3" w:rsidRPr="00F420C3" w:rsidTr="00F420C3">
        <w:trPr>
          <w:trHeight w:val="878"/>
        </w:trPr>
        <w:tc>
          <w:tcPr>
            <w:tcW w:w="2785"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Bảo hiểm xã hội</w:t>
            </w:r>
          </w:p>
        </w:tc>
        <w:tc>
          <w:tcPr>
            <w:tcW w:w="3464"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Không phải đóng bảo hiểm thất nghiệp</w:t>
            </w:r>
          </w:p>
        </w:tc>
        <w:tc>
          <w:tcPr>
            <w:tcW w:w="3466" w:type="dxa"/>
          </w:tcPr>
          <w:p w:rsidR="00F420C3" w:rsidRPr="00F420C3" w:rsidRDefault="00F420C3" w:rsidP="00F420C3">
            <w:pPr>
              <w:pStyle w:val="NormalWeb"/>
              <w:widowControl/>
              <w:spacing w:before="120" w:beforeAutospacing="0" w:after="120" w:afterAutospacing="0" w:line="300" w:lineRule="atLeast"/>
              <w:rPr>
                <w:sz w:val="28"/>
                <w:szCs w:val="28"/>
              </w:rPr>
            </w:pPr>
            <w:r w:rsidRPr="00F420C3">
              <w:rPr>
                <w:sz w:val="28"/>
                <w:szCs w:val="28"/>
              </w:rPr>
              <w:t>Phải đóng bảo hiểm thất nghiệp</w:t>
            </w:r>
          </w:p>
        </w:tc>
      </w:tr>
    </w:tbl>
    <w:p w:rsidR="00F420C3" w:rsidRDefault="00F420C3" w:rsidP="00F420C3">
      <w:pPr>
        <w:pStyle w:val="NormalWeb"/>
        <w:spacing w:before="120" w:beforeAutospacing="0" w:after="120" w:afterAutospacing="0" w:line="300" w:lineRule="atLeast"/>
        <w:rPr>
          <w:b/>
          <w:bCs/>
          <w:sz w:val="28"/>
          <w:szCs w:val="28"/>
        </w:rPr>
      </w:pPr>
    </w:p>
    <w:p w:rsidR="00F420C3" w:rsidRDefault="00F420C3" w:rsidP="00F420C3">
      <w:pPr>
        <w:pStyle w:val="NormalWeb"/>
        <w:spacing w:before="120" w:beforeAutospacing="0" w:after="120" w:afterAutospacing="0" w:line="300" w:lineRule="atLeast"/>
        <w:rPr>
          <w:b/>
          <w:bCs/>
          <w:sz w:val="28"/>
          <w:szCs w:val="28"/>
        </w:rPr>
      </w:pPr>
    </w:p>
    <w:p w:rsidR="00F420C3" w:rsidRPr="00F420C3" w:rsidRDefault="00F420C3" w:rsidP="00F420C3">
      <w:pPr>
        <w:pStyle w:val="NormalWeb"/>
        <w:spacing w:before="120" w:beforeAutospacing="0" w:after="120" w:afterAutospacing="0" w:line="300" w:lineRule="atLeast"/>
        <w:rPr>
          <w:b/>
          <w:bCs/>
          <w:sz w:val="28"/>
          <w:szCs w:val="28"/>
        </w:rPr>
      </w:pPr>
    </w:p>
    <w:p w:rsidR="00F420C3" w:rsidRPr="00F420C3" w:rsidRDefault="00F420C3" w:rsidP="00F420C3">
      <w:pPr>
        <w:pStyle w:val="NormalWeb"/>
        <w:numPr>
          <w:ilvl w:val="0"/>
          <w:numId w:val="1"/>
        </w:numPr>
        <w:spacing w:before="120" w:beforeAutospacing="0" w:after="120" w:afterAutospacing="0" w:line="300" w:lineRule="atLeast"/>
        <w:rPr>
          <w:b/>
          <w:bCs/>
          <w:sz w:val="28"/>
          <w:szCs w:val="28"/>
        </w:rPr>
      </w:pPr>
      <w:r w:rsidRPr="00F420C3">
        <w:rPr>
          <w:b/>
          <w:bCs/>
          <w:sz w:val="28"/>
          <w:szCs w:val="28"/>
        </w:rPr>
        <w:lastRenderedPageBreak/>
        <w:t>Hiệu trưởng là công chức hay viên chức</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 xml:space="preserve">Theo quy định tại Điều 2, </w:t>
      </w:r>
      <w:r w:rsidRPr="00F420C3">
        <w:rPr>
          <w:rFonts w:ascii="Times New Roman" w:hAnsi="Times New Roman" w:cs="Times New Roman"/>
          <w:sz w:val="28"/>
          <w:szCs w:val="28"/>
        </w:rPr>
        <w:t>Nghị định 06/2010/NĐ-CP</w:t>
      </w:r>
      <w:r w:rsidRPr="00F420C3">
        <w:rPr>
          <w:rFonts w:ascii="Times New Roman" w:hAnsi="Times New Roman" w:cs="Times New Roman"/>
          <w:sz w:val="28"/>
          <w:szCs w:val="28"/>
        </w:rPr>
        <w:t xml:space="preserve"> ngày 25/1/2010 của Chính phủ quy định những người là công chức nếu là công dân Việt Nam, được tuyển dụng, bổ nhiệm vào ngạch, chức vụ, chức danh, trong biên chế, hưởng lương từ ngân sách nhà nước hoặc được bảo đảm từ quỹ lương của đơn vị sự nghiệp công lập theo quy định của pháp luật, làm việc trong các cơ quan, tổ chức, đơn vị quy định tại Nghị định này.</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Theo đó, công chức trong bộ máy lãnh đạo, quản lý đơn vị sự nghiệp công lập được quy định tại khoản 1, khoản 4, khoản 5, Điều 11 Nghị định nêu trên như sau:</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Đơn vị sự nghiệp công lập là các tổ chức được cơ quan có thẩm quyền của Đảng, cơ quan Nhà nước và tổ chức chính trị – xã hội thành lập và quản lý theo quy định của pháp luật, có tư cách pháp nhân, con dấu, tài khoản, hoạt động trong các lĩnh vực giáo dục, đào tạo, y tế, nghiên cứu khoa học, văn hóa, thể dục thể thao, du lịch, lao động – thương binh và xã hội, thông tin truyền thông và các lĩnh vực sự nghiệp khác được pháp luật quy định.</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Công chức là người đứng đầu đơn vị sự nghiệp công lập được ngân sách nhà nước cấp kinh phí hoạt động thuộc Tổng cục, Cục và tương đương trực thuộc Bộ, cơ quan ngang Bộ; tỉnh ủy, thành ủy; Ủy ban nhân dân cấp tỉnh; tổ chức chính trị – xã hội cấp tỉnh; huyện ủy, quận ủy, thị ủy, thành ủy thuộc tỉnh ủy; cơ quan chuyên môn thuộc Ủy ban nhân dân cấp tỉnh, cơ quan chuyên môn thuộc Ủy ban nhân dân cấp huyện.</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Công chức là người giữ các vị trí việc làm gắn với nhiệm vụ quản lý nhà nước trong đơn vị sự nghiệp công lập được giao thực hiện nhiệm vụ quản lý nhà nước.</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Vì vậy, hiệu trưởng nhà trường là công chức nếu nhà trường đó là đơn vị sự nghiệp công lập được ngân sách nhà nước cấp kinh phí hoạt động thuộc Tổng cục, Cục và tương đương trực thuộc Bộ, cơ quan ngang Bộ; tỉnh ủy, thành ủy; Ủy ban nhân dân cấp tỉnh; tổ chức chính trị – xã hội cấp tỉnh; huyện ủy, quận ủy, thị ủy, thành ủy thuộc tỉnh ủy; cơ quan chuyên môn thuộc Ủy ban nhân dân cấp tỉnh, cơ quan chuyên môn thuộc Ủy ban nhân dân cấp huyện.</w:t>
      </w:r>
    </w:p>
    <w:p w:rsidR="00F420C3" w:rsidRPr="00F420C3" w:rsidRDefault="00F420C3" w:rsidP="00F420C3">
      <w:pPr>
        <w:widowControl w:val="0"/>
        <w:numPr>
          <w:ilvl w:val="0"/>
          <w:numId w:val="1"/>
        </w:numPr>
        <w:spacing w:beforeLines="50" w:before="120" w:afterLines="50" w:after="120" w:line="240" w:lineRule="auto"/>
        <w:jc w:val="both"/>
        <w:rPr>
          <w:rFonts w:ascii="Times New Roman" w:hAnsi="Times New Roman" w:cs="Times New Roman"/>
          <w:b/>
          <w:bCs/>
          <w:sz w:val="28"/>
          <w:szCs w:val="28"/>
        </w:rPr>
      </w:pPr>
      <w:r w:rsidRPr="00F420C3">
        <w:rPr>
          <w:rFonts w:ascii="Times New Roman" w:hAnsi="Times New Roman" w:cs="Times New Roman"/>
          <w:b/>
          <w:bCs/>
          <w:sz w:val="28"/>
          <w:szCs w:val="28"/>
        </w:rPr>
        <w:t>Giáo viên là công chức hay viên chức</w:t>
      </w:r>
    </w:p>
    <w:p w:rsidR="00F420C3" w:rsidRPr="00F420C3" w:rsidRDefault="00F420C3" w:rsidP="00F420C3">
      <w:pPr>
        <w:widowControl w:val="0"/>
        <w:spacing w:beforeLines="50" w:before="120" w:afterLines="50" w:after="120" w:line="240" w:lineRule="auto"/>
        <w:jc w:val="both"/>
        <w:rPr>
          <w:rFonts w:ascii="Times New Roman" w:hAnsi="Times New Roman" w:cs="Times New Roman"/>
          <w:sz w:val="28"/>
          <w:szCs w:val="28"/>
        </w:rPr>
      </w:pPr>
      <w:r w:rsidRPr="00F420C3">
        <w:rPr>
          <w:rFonts w:ascii="Times New Roman" w:hAnsi="Times New Roman" w:cs="Times New Roman"/>
          <w:sz w:val="28"/>
          <w:szCs w:val="28"/>
        </w:rPr>
        <w:t>Theo luật viên chức hiện hành thì giáo viên tại các trường công lập là viên chức, còn những người giữ cương vị lãnh đạo có chức vụ, chức danh sẽ là công chức.</w:t>
      </w:r>
    </w:p>
    <w:p w:rsidR="00C457BC" w:rsidRPr="00F420C3" w:rsidRDefault="00C457BC" w:rsidP="00F420C3">
      <w:pPr>
        <w:rPr>
          <w:rFonts w:ascii="Times New Roman" w:hAnsi="Times New Roman" w:cs="Times New Roman"/>
          <w:sz w:val="28"/>
          <w:szCs w:val="28"/>
        </w:rPr>
      </w:pPr>
    </w:p>
    <w:sectPr w:rsidR="00C457BC" w:rsidRPr="00F420C3" w:rsidSect="00F420C3">
      <w:pgSz w:w="12247" w:h="15819"/>
      <w:pgMar w:top="1170" w:right="1267" w:bottom="1440" w:left="135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CF" w:rsidRDefault="000073CF" w:rsidP="00F420C3">
      <w:pPr>
        <w:spacing w:after="0" w:line="240" w:lineRule="auto"/>
      </w:pPr>
      <w:r>
        <w:separator/>
      </w:r>
    </w:p>
  </w:endnote>
  <w:endnote w:type="continuationSeparator" w:id="0">
    <w:p w:rsidR="000073CF" w:rsidRDefault="000073CF" w:rsidP="00F4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CF" w:rsidRDefault="000073CF" w:rsidP="00F420C3">
      <w:pPr>
        <w:spacing w:after="0" w:line="240" w:lineRule="auto"/>
      </w:pPr>
      <w:r>
        <w:separator/>
      </w:r>
    </w:p>
  </w:footnote>
  <w:footnote w:type="continuationSeparator" w:id="0">
    <w:p w:rsidR="000073CF" w:rsidRDefault="000073CF" w:rsidP="00F42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42E1"/>
    <w:multiLevelType w:val="singleLevel"/>
    <w:tmpl w:val="5B7542E1"/>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C3"/>
    <w:rsid w:val="000073CF"/>
    <w:rsid w:val="00C457BC"/>
    <w:rsid w:val="00F4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99B4"/>
  <w15:chartTrackingRefBased/>
  <w15:docId w15:val="{B697B958-841C-4249-9BAF-CE247010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20C3"/>
    <w:rPr>
      <w:color w:val="0000FF"/>
      <w:u w:val="single"/>
    </w:rPr>
  </w:style>
  <w:style w:type="paragraph" w:styleId="NormalWeb">
    <w:name w:val="Normal (Web)"/>
    <w:rsid w:val="00F420C3"/>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rsid w:val="00F420C3"/>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rsid w:val="00F420C3"/>
    <w:rPr>
      <w:rFonts w:ascii="Times New Roman" w:eastAsia="SimSun" w:hAnsi="Times New Roman" w:cs="Times New Roman"/>
      <w:kern w:val="2"/>
      <w:sz w:val="18"/>
      <w:szCs w:val="18"/>
      <w:lang w:eastAsia="zh-CN"/>
    </w:rPr>
  </w:style>
  <w:style w:type="paragraph" w:styleId="Footer">
    <w:name w:val="footer"/>
    <w:basedOn w:val="Normal"/>
    <w:link w:val="FooterChar"/>
    <w:rsid w:val="00F420C3"/>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FooterChar">
    <w:name w:val="Footer Char"/>
    <w:basedOn w:val="DefaultParagraphFont"/>
    <w:link w:val="Footer"/>
    <w:rsid w:val="00F420C3"/>
    <w:rPr>
      <w:rFonts w:ascii="Times New Roman" w:eastAsia="SimSun" w:hAnsi="Times New Roman" w:cs="Times New Roman"/>
      <w:kern w:val="2"/>
      <w:sz w:val="18"/>
      <w:szCs w:val="18"/>
      <w:lang w:eastAsia="zh-CN"/>
    </w:rPr>
  </w:style>
  <w:style w:type="table" w:styleId="TableGrid">
    <w:name w:val="Table Grid"/>
    <w:basedOn w:val="TableNormal"/>
    <w:rsid w:val="00F420C3"/>
    <w:pPr>
      <w:widowControl w:val="0"/>
      <w:spacing w:after="0" w:line="240"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1</cp:revision>
  <dcterms:created xsi:type="dcterms:W3CDTF">2020-05-05T13:55:00Z</dcterms:created>
  <dcterms:modified xsi:type="dcterms:W3CDTF">2020-05-05T14:05:00Z</dcterms:modified>
</cp:coreProperties>
</file>