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A1" w:rsidRPr="00E73EA1" w:rsidRDefault="00E73EA1" w:rsidP="00E73EA1">
      <w:pPr>
        <w:pStyle w:val="NormalWeb"/>
        <w:spacing w:before="0" w:beforeAutospacing="0" w:after="225" w:afterAutospacing="0" w:line="360" w:lineRule="atLeast"/>
        <w:jc w:val="center"/>
        <w:rPr>
          <w:b/>
          <w:color w:val="2A2A2A"/>
          <w:sz w:val="28"/>
          <w:szCs w:val="28"/>
        </w:rPr>
      </w:pPr>
      <w:bookmarkStart w:id="0" w:name="_GoBack"/>
      <w:r w:rsidRPr="00E73EA1">
        <w:rPr>
          <w:b/>
          <w:color w:val="2A2A2A"/>
          <w:sz w:val="28"/>
          <w:szCs w:val="28"/>
        </w:rPr>
        <w:t>Hướng dẫn</w:t>
      </w:r>
      <w:r w:rsidRPr="00E73EA1">
        <w:rPr>
          <w:b/>
          <w:color w:val="2A2A2A"/>
          <w:sz w:val="28"/>
          <w:szCs w:val="28"/>
        </w:rPr>
        <w:t> </w:t>
      </w:r>
      <w:r w:rsidRPr="00E73EA1">
        <w:rPr>
          <w:b/>
          <w:color w:val="2A2A2A"/>
          <w:sz w:val="28"/>
          <w:szCs w:val="28"/>
        </w:rPr>
        <w:t>tải phần mềm htkk 3.4.1</w:t>
      </w:r>
    </w:p>
    <w:bookmarkEnd w:id="0"/>
    <w:p w:rsidR="00E73EA1" w:rsidRPr="00E73EA1" w:rsidRDefault="00E73EA1" w:rsidP="00E73EA1">
      <w:pPr>
        <w:pStyle w:val="NormalWeb"/>
        <w:spacing w:before="0" w:beforeAutospacing="0" w:after="225" w:afterAutospacing="0" w:line="360" w:lineRule="atLeast"/>
        <w:rPr>
          <w:color w:val="2A2A2A"/>
          <w:sz w:val="28"/>
          <w:szCs w:val="28"/>
        </w:rPr>
      </w:pPr>
      <w:r w:rsidRPr="00E73EA1">
        <w:rPr>
          <w:color w:val="2A2A2A"/>
          <w:sz w:val="28"/>
          <w:szCs w:val="28"/>
        </w:rPr>
        <w:t>Đáp ứng yêu cầu nghiệp vụ theo Thông tư số 96/2015/TT-BTC ngày 22/6/2015 của Bộ Tài chính hướng dẫn về thuế thu nhập doanh nghiệp tại Nghị định số 12/2015/NĐ-CP ngày 12/2/2015 của Chính phủ, Thông tư liên tịch số 12/2016/TTLT-BKHCN-BTC ngày 28/06/2016 giữa Bộ Khoa học và Công nghệ và Bộ Tài chính hướng dẫn nội dung chi và quản lý quỹ phát triển khoa học và công nghệ của doanh nghiệp, Thông tư số 152/2015/TT-BTC ngày 02/10/2015 của Bộ Tài chính hướng dẫn về thuế tài nguyên, Thông tư số 160/2013/TT-BTC ngày 14/11/2013 của Bộ Tài chính hướng dẫn việc in, phát hành, quản lý và sử dụng tem đối với sản phẩm rượu nhập khẩu và rượu sản xuất để tiêu thụ trong nước, Thông tư số 176/2014/TT-BTC ngày 17/11/2014 của Bộ Tài chính hướng dẫn về thuế đối với hoạt động tìm kiếm thăm dò, phát triển mỏ và khai thác dầu khí của Liên doanh “Vietsovpetro” từ lô 09-1 và yêu cầu nghiệp vụ kê khai, nộp và quyết toán các khoản thu của Nhà nước quy định tại Điều 18 Quy chế quản lý tài chính của Công ty mẹ – Tập đoàn Dầu khí Việt Nam ban hành kèm theo Nghị định số 06/2015/NĐ-CP ngày 13/01/2015 của Chính phủ, Tổng cục Thuế đã hoàn thành nâng cấp ứng dụng hỗ trợ kê khai thuế (HTKK) phiên bản 3.4.1, ứng dụng Khai thuế qua mạng (iHTKK) phiên bản 3.3.1, ứng dụng Hỗ trợ đọc, xác minh tờ khai, thông báo thuế định dạng XML (iTaxViewer) phiên bản 1.2.1 cụ thể như sau:</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rStyle w:val="Strong"/>
          <w:color w:val="2A2A2A"/>
          <w:sz w:val="28"/>
          <w:szCs w:val="28"/>
        </w:rPr>
        <w:t>1.    Nâng cấp các chức năng kê khai trên ứng dụng HTKK, iHTKK:</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color w:val="2A2A2A"/>
          <w:sz w:val="28"/>
          <w:szCs w:val="28"/>
        </w:rPr>
        <w:t>–    Nâng cấp chức năng kê khai tờ khai quyết toán thuế TNDN mẫu 03/TNDN:</w:t>
      </w:r>
      <w:r w:rsidRPr="00E73EA1">
        <w:rPr>
          <w:color w:val="2A2A2A"/>
          <w:sz w:val="28"/>
          <w:szCs w:val="28"/>
        </w:rPr>
        <w:br/>
        <w:t>+    Hỗ trợ tính Thuế TNDN phải nộp của bất động sản trong năm [15] = Thu nhập tính thuế TNDN sau khi trừ trích lập quỹ KHCN [13] x Thuế suất [14] trên Phụ lục 03-5/TNDN đính kèm tờ quyết toán 03/TNDN theo quy định trong Thông tư số 96/2015/TT-BTC và cho phép sửa chỉ tiêu [15] để đáp ứng trường hợp NNT có cả doanh thu từ chuyển nhượng bất động sản (thuế suất 20%) và doanh thu từ kinh doanh nhà ở xã hội (thuế suất 10%).</w:t>
      </w:r>
      <w:r w:rsidRPr="00E73EA1">
        <w:rPr>
          <w:color w:val="2A2A2A"/>
          <w:sz w:val="28"/>
          <w:szCs w:val="28"/>
        </w:rPr>
        <w:br/>
        <w:t>+    Hết hiệu lực kê khai Phụ lục 03-6/TNDN đính kèm tờ khai 03/TNDN từ kỳ tính thuế năm 2016 trở đi.</w:t>
      </w:r>
      <w:r w:rsidRPr="00E73EA1">
        <w:rPr>
          <w:color w:val="2A2A2A"/>
          <w:sz w:val="28"/>
          <w:szCs w:val="28"/>
        </w:rPr>
        <w:br/>
        <w:t xml:space="preserve">+    Bổ sung chức năng kê khai Phụ lục 02 – Báo cáo trích lập quỹ phát triển khoa học và công nghệ ban hành kèm </w:t>
      </w:r>
      <w:proofErr w:type="gramStart"/>
      <w:r w:rsidRPr="00E73EA1">
        <w:rPr>
          <w:color w:val="2A2A2A"/>
          <w:sz w:val="28"/>
          <w:szCs w:val="28"/>
        </w:rPr>
        <w:t>theo</w:t>
      </w:r>
      <w:proofErr w:type="gramEnd"/>
      <w:r w:rsidRPr="00E73EA1">
        <w:rPr>
          <w:color w:val="2A2A2A"/>
          <w:sz w:val="28"/>
          <w:szCs w:val="28"/>
        </w:rPr>
        <w:t xml:space="preserve"> Thông tư số 12/2016/TTLT-BKHCN-BTC khi kê khai tờ khai 03/TNDN từ kỳ tính thuế 2016 trở đi.</w:t>
      </w:r>
      <w:r w:rsidRPr="00E73EA1">
        <w:rPr>
          <w:color w:val="2A2A2A"/>
          <w:sz w:val="28"/>
          <w:szCs w:val="28"/>
        </w:rPr>
        <w:br/>
        <w:t xml:space="preserve">–    Nâng cấp ứng dụng để bổ sung chức năng lập Thông báo kết quả hủy tem rượu (mẫu số 02), Báo cáo mất tem rượu (mẫu 03), Báo cáo sử dụng tem rượu (mẫu số 06) ban hành kèm </w:t>
      </w:r>
      <w:proofErr w:type="gramStart"/>
      <w:r w:rsidRPr="00E73EA1">
        <w:rPr>
          <w:color w:val="2A2A2A"/>
          <w:sz w:val="28"/>
          <w:szCs w:val="28"/>
        </w:rPr>
        <w:t>theo</w:t>
      </w:r>
      <w:proofErr w:type="gramEnd"/>
      <w:r w:rsidRPr="00E73EA1">
        <w:rPr>
          <w:color w:val="2A2A2A"/>
          <w:sz w:val="28"/>
          <w:szCs w:val="28"/>
        </w:rPr>
        <w:t xml:space="preserve"> Thông tư số 160/2013/TT-BTC;</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rStyle w:val="Strong"/>
          <w:color w:val="2A2A2A"/>
          <w:sz w:val="28"/>
          <w:szCs w:val="28"/>
        </w:rPr>
        <w:t>2.    Nâng cấp các chức năng kê khai trên ứng dụng iHTKK:</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color w:val="2A2A2A"/>
          <w:sz w:val="28"/>
          <w:szCs w:val="28"/>
        </w:rPr>
        <w:lastRenderedPageBreak/>
        <w:t>–    Nâng cấp Tờ khai, quyết toán thuế tài nguyên mẫu 02/TAIN đáp ứng Thông tư số 152/2015/TT-BTC: Hỗ trợ gửi kèm Bảng kê sản lượng khai thác khoáng sản định dạng word/excel khi kê khai tờ khai 02/TAIN.</w:t>
      </w:r>
      <w:r w:rsidRPr="00E73EA1">
        <w:rPr>
          <w:color w:val="2A2A2A"/>
          <w:sz w:val="28"/>
          <w:szCs w:val="28"/>
        </w:rPr>
        <w:br/>
        <w:t>–    Nâng cấp các tờ khai thuế đối với hoạt động tìm kiếm, thăm dò, phát triển mỏ và khai thác dầu khí của Liên danh Việt-Nga “Vietsovpetro” từ Lô 09-1 theo Hiệp định 2010 và Nghị định thư 2013 theo Thông tư số 176/2014/TT-BTC, cụ thể:</w:t>
      </w:r>
      <w:r w:rsidRPr="00E73EA1">
        <w:rPr>
          <w:color w:val="2A2A2A"/>
          <w:sz w:val="28"/>
          <w:szCs w:val="28"/>
        </w:rPr>
        <w:br/>
        <w:t>+    Tờ khai thuế tạm tính mẫu số 01/TK-VSP</w:t>
      </w:r>
      <w:r w:rsidRPr="00E73EA1">
        <w:rPr>
          <w:color w:val="2A2A2A"/>
          <w:sz w:val="28"/>
          <w:szCs w:val="28"/>
        </w:rPr>
        <w:br/>
        <w:t>+    Tờ khai quyết toán thuế tài nguyên đối với dầu khí mẫu số 02/TAIN-VSP và phụ lục 02/1/TAIN-VSP đính kèm</w:t>
      </w:r>
      <w:r w:rsidRPr="00E73EA1">
        <w:rPr>
          <w:color w:val="2A2A2A"/>
          <w:sz w:val="28"/>
          <w:szCs w:val="28"/>
        </w:rPr>
        <w:br/>
        <w:t>+    Tờ khai điều chỉnh thuế đặc biệt đối với khí thiên nhiên mẫu số 01/ĐCĐB-VSP</w:t>
      </w:r>
      <w:r w:rsidRPr="00E73EA1">
        <w:rPr>
          <w:color w:val="2A2A2A"/>
          <w:sz w:val="28"/>
          <w:szCs w:val="28"/>
        </w:rPr>
        <w:br/>
        <w:t>+    Tờ khai phụ thu tạm tính (đối với dầu lãi từ tiền kết dư của phần dầu để lại) mẫu số 01-1/PTHU-VSP</w:t>
      </w:r>
      <w:r w:rsidRPr="00E73EA1">
        <w:rPr>
          <w:color w:val="2A2A2A"/>
          <w:sz w:val="28"/>
          <w:szCs w:val="28"/>
        </w:rPr>
        <w:br/>
        <w:t>+    Tờ khai quyết toán phụ thu mẫu số 02/PTHU-VSP và phụ lục 02-1/PTHU-VSP đính kèm</w:t>
      </w:r>
      <w:r w:rsidRPr="00E73EA1">
        <w:rPr>
          <w:color w:val="2A2A2A"/>
          <w:sz w:val="28"/>
          <w:szCs w:val="28"/>
        </w:rPr>
        <w:br/>
        <w:t>+   Tờ khai thuế thu nhập doanh nghiệp tạm tính (áp dụng đối với thu nhập từ tiền kết dư của phần dầu để lại)  mẫu số 01-1/TNDN-VSP</w:t>
      </w:r>
      <w:r w:rsidRPr="00E73EA1">
        <w:rPr>
          <w:color w:val="2A2A2A"/>
          <w:sz w:val="28"/>
          <w:szCs w:val="28"/>
        </w:rPr>
        <w:br/>
        <w:t>+    Tờ khai quyết toán thuế thu nhập doanh nghiệp mẫu số 02/TNDN-VSP</w:t>
      </w:r>
      <w:r w:rsidRPr="00E73EA1">
        <w:rPr>
          <w:color w:val="2A2A2A"/>
          <w:sz w:val="28"/>
          <w:szCs w:val="28"/>
        </w:rPr>
        <w:br/>
        <w:t>–    Nâng cấp các chức năng kê khai, quyết toán các khoản thu của nhà nước quy định tại điều 18 quy chế quản lý tài chính của công ty mẹ – Tập đoàn dầu khí Việt Nam ban hành kèm theo Nghị định số 06/2015/NĐ-CP ngày 13/01/2015 của Chính Phủ:</w:t>
      </w:r>
      <w:r w:rsidRPr="00E73EA1">
        <w:rPr>
          <w:color w:val="2A2A2A"/>
          <w:sz w:val="28"/>
          <w:szCs w:val="28"/>
        </w:rPr>
        <w:br/>
        <w:t>+    Tờ khai thuế và các khoản nộp ngân sách nhà nước (Xí nghiệp Liên doanh Dầu khí Vietsovpetro) mẫu 01A/TNS</w:t>
      </w:r>
      <w:r w:rsidRPr="00E73EA1">
        <w:rPr>
          <w:color w:val="2A2A2A"/>
          <w:sz w:val="28"/>
          <w:szCs w:val="28"/>
        </w:rPr>
        <w:br/>
        <w:t>+    Tờ khai thuế và các khoản nộp ngân sách nhà nước (các hợp đồng phân chia sản phẩm) mẫu 01B/TNS</w:t>
      </w:r>
      <w:r w:rsidRPr="00E73EA1">
        <w:rPr>
          <w:color w:val="2A2A2A"/>
          <w:sz w:val="28"/>
          <w:szCs w:val="28"/>
        </w:rPr>
        <w:br/>
        <w:t>+    Tờ khai các khoản nộp ngân sách nhà nước mẫu 01C/TNS</w:t>
      </w:r>
      <w:r w:rsidRPr="00E73EA1">
        <w:rPr>
          <w:color w:val="2A2A2A"/>
          <w:sz w:val="28"/>
          <w:szCs w:val="28"/>
        </w:rPr>
        <w:br/>
        <w:t>+  Tờ khai Báo cáo tổng hợp số thuế và các khoản nộp ngân sách nhà nước (Xí nghiệp Liên doanh Dầu khí Vietsovpetro) mẫu 03A/TNS</w:t>
      </w:r>
      <w:r w:rsidRPr="00E73EA1">
        <w:rPr>
          <w:color w:val="2A2A2A"/>
          <w:sz w:val="28"/>
          <w:szCs w:val="28"/>
        </w:rPr>
        <w:br/>
        <w:t>+  Tờ khai Báo cáo tổng hợp số thuế và các khoản nộp ngân sách nhà nước (Xí nghiệp Liên doanh Dầu khí Vietsovpetro) mẫu 03B/TNS</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rStyle w:val="Strong"/>
          <w:color w:val="2A2A2A"/>
          <w:sz w:val="28"/>
          <w:szCs w:val="28"/>
        </w:rPr>
        <w:t>3.    Nâng cấp các chức năng kê khai trên ứng dụng iTaxViewer:</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color w:val="2A2A2A"/>
          <w:sz w:val="28"/>
          <w:szCs w:val="28"/>
        </w:rPr>
        <w:t>–    Nâng cấp ứng dụng iTaxViewer phiên bản 1.2.1 đáp ứng các nội dung nâng cấp của ứng dụng iHTKK phiên bản 3.3.1.</w:t>
      </w:r>
      <w:r w:rsidRPr="00E73EA1">
        <w:rPr>
          <w:color w:val="2A2A2A"/>
          <w:sz w:val="28"/>
          <w:szCs w:val="28"/>
        </w:rPr>
        <w:br/>
        <w:t>Bắt đầu từ ngày 12/11/2016, khi kê khai tờ khai thuế có liên quan đến nội dung nâng cấp nêu trên, tổ chức cá nhân nộp thuế sẽ sử dụng các mẫu biểu kê khai tại ứng dụng HTKK 3.4.1, iHTKK 3.3.1, iTaxViewer 1.2.1 thay cho các phiên bản trước đây.</w:t>
      </w:r>
    </w:p>
    <w:p w:rsidR="00E73EA1" w:rsidRPr="00E73EA1" w:rsidRDefault="00E73EA1" w:rsidP="00E73EA1">
      <w:pPr>
        <w:pStyle w:val="NormalWeb"/>
        <w:spacing w:before="0" w:beforeAutospacing="0" w:after="225" w:afterAutospacing="0" w:line="360" w:lineRule="atLeast"/>
        <w:rPr>
          <w:color w:val="2A2A2A"/>
          <w:sz w:val="28"/>
          <w:szCs w:val="28"/>
        </w:rPr>
      </w:pPr>
      <w:r w:rsidRPr="00E73EA1">
        <w:rPr>
          <w:color w:val="2A2A2A"/>
          <w:sz w:val="28"/>
          <w:szCs w:val="28"/>
        </w:rPr>
        <w:lastRenderedPageBreak/>
        <w:t>Tổ chức, cá nhân nộp thuế có thể tải bộ cài và tài liệu hướng dẫn sử dụng ứng dụng tại địa chỉ sau</w:t>
      </w:r>
      <w:proofErr w:type="gramStart"/>
      <w:r w:rsidRPr="00E73EA1">
        <w:rPr>
          <w:color w:val="2A2A2A"/>
          <w:sz w:val="28"/>
          <w:szCs w:val="28"/>
        </w:rPr>
        <w:t>:</w:t>
      </w:r>
      <w:proofErr w:type="gramEnd"/>
      <w:r w:rsidRPr="00E73EA1">
        <w:rPr>
          <w:color w:val="2A2A2A"/>
          <w:sz w:val="28"/>
          <w:szCs w:val="28"/>
        </w:rPr>
        <w:br/>
        <w:t>+    Ứng dụng HTKK phiên bản 3.4.1: </w:t>
      </w:r>
      <w:r>
        <w:rPr>
          <w:color w:val="2A2A2A"/>
          <w:sz w:val="28"/>
          <w:szCs w:val="28"/>
        </w:rPr>
        <w:t xml:space="preserve"> http://www.gdt.gov.vn/wps/portal/home/hotrokekhai</w:t>
      </w:r>
      <w:r w:rsidRPr="00E73EA1">
        <w:rPr>
          <w:color w:val="2A2A2A"/>
          <w:sz w:val="28"/>
          <w:szCs w:val="28"/>
        </w:rPr>
        <w:br/>
        <w:t>+  Ứng dụng iHTKK phiên bản 3.3.1, iTaxViewer 1.2.1: Thực hiện kê khai</w:t>
      </w:r>
      <w:r>
        <w:rPr>
          <w:color w:val="2A2A2A"/>
          <w:sz w:val="28"/>
          <w:szCs w:val="28"/>
        </w:rPr>
        <w:t xml:space="preserve"> hoặc tải bộ cài iTaxViewer tại http://kekhaithue.gdt.gov.vn</w:t>
      </w:r>
    </w:p>
    <w:p w:rsidR="00E73EA1" w:rsidRPr="00E73EA1" w:rsidRDefault="00E73EA1" w:rsidP="00E73EA1">
      <w:pPr>
        <w:pStyle w:val="NormalWeb"/>
        <w:spacing w:before="0" w:beforeAutospacing="0" w:after="225" w:afterAutospacing="0" w:line="360" w:lineRule="atLeast"/>
        <w:rPr>
          <w:color w:val="2A2A2A"/>
          <w:sz w:val="28"/>
          <w:szCs w:val="28"/>
        </w:rPr>
      </w:pPr>
      <w:proofErr w:type="gramStart"/>
      <w:r w:rsidRPr="00E73EA1">
        <w:rPr>
          <w:color w:val="2A2A2A"/>
          <w:sz w:val="28"/>
          <w:szCs w:val="28"/>
        </w:rPr>
        <w:t>Hoặc liên hệ trực tiếp với cơ quan thuế địa phương để được cung cấp và hỗ trợ trong quá trình cài đặt, sử dụng.</w:t>
      </w:r>
      <w:proofErr w:type="gramEnd"/>
      <w:r w:rsidRPr="00E73EA1">
        <w:rPr>
          <w:color w:val="2A2A2A"/>
          <w:sz w:val="28"/>
          <w:szCs w:val="28"/>
        </w:rPr>
        <w:br/>
        <w:t>Mọi phản ánh, góp ý của tổ chức, cá nhân nộp thuế được gửi đến Cục Thuế theo các số điện thoại, hộp thư điện tử hỗ trợ NNT về ứng dụng HTKK, iHTKK, iTaxViewer do Cơ quan Thuế cung cấp</w:t>
      </w:r>
    </w:p>
    <w:p w:rsidR="00545B5D" w:rsidRPr="00E73EA1" w:rsidRDefault="00E73EA1" w:rsidP="00E73EA1">
      <w:pPr>
        <w:rPr>
          <w:rFonts w:ascii="Times New Roman" w:hAnsi="Times New Roman" w:cs="Times New Roman"/>
          <w:sz w:val="28"/>
          <w:szCs w:val="28"/>
        </w:rPr>
      </w:pPr>
    </w:p>
    <w:sectPr w:rsidR="00545B5D" w:rsidRPr="00E73EA1" w:rsidSect="00E73EA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A1"/>
    <w:rsid w:val="00496131"/>
    <w:rsid w:val="007D0226"/>
    <w:rsid w:val="00E73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EA1"/>
    <w:rPr>
      <w:b/>
      <w:bCs/>
    </w:rPr>
  </w:style>
  <w:style w:type="character" w:styleId="Hyperlink">
    <w:name w:val="Hyperlink"/>
    <w:basedOn w:val="DefaultParagraphFont"/>
    <w:uiPriority w:val="99"/>
    <w:semiHidden/>
    <w:unhideWhenUsed/>
    <w:rsid w:val="00E73E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3E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3EA1"/>
    <w:rPr>
      <w:b/>
      <w:bCs/>
    </w:rPr>
  </w:style>
  <w:style w:type="character" w:styleId="Hyperlink">
    <w:name w:val="Hyperlink"/>
    <w:basedOn w:val="DefaultParagraphFont"/>
    <w:uiPriority w:val="99"/>
    <w:semiHidden/>
    <w:unhideWhenUsed/>
    <w:rsid w:val="00E73E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0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2020-05-11T13:51:00Z</dcterms:created>
  <dcterms:modified xsi:type="dcterms:W3CDTF">2020-05-11T13:58:00Z</dcterms:modified>
</cp:coreProperties>
</file>