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B6C" w:rsidRPr="00F656B5" w:rsidRDefault="000C0B6C" w:rsidP="000C0B6C">
      <w:pPr>
        <w:pStyle w:val="Heading2"/>
        <w:spacing w:before="0" w:beforeAutospacing="0" w:after="0" w:afterAutospacing="0" w:line="360" w:lineRule="auto"/>
        <w:jc w:val="center"/>
        <w:rPr>
          <w:rFonts w:ascii="Times New Roman" w:hAnsi="Times New Roman" w:hint="default"/>
          <w:sz w:val="28"/>
          <w:szCs w:val="28"/>
        </w:rPr>
      </w:pPr>
      <w:r w:rsidRPr="00F656B5">
        <w:rPr>
          <w:rFonts w:ascii="Times New Roman" w:hAnsi="Times New Roman" w:hint="default"/>
          <w:sz w:val="28"/>
          <w:szCs w:val="28"/>
        </w:rPr>
        <w:t xml:space="preserve">Quy định mức đóng bảo hiểm xã hội năm </w:t>
      </w:r>
      <w:r>
        <w:rPr>
          <w:rFonts w:ascii="Times New Roman" w:hAnsi="Times New Roman" w:hint="default"/>
          <w:sz w:val="28"/>
          <w:szCs w:val="28"/>
        </w:rPr>
        <w:t>2020</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Luật Bảo hiểm xã hội 2014 sẽ có một số điều khoản đến ngày 1.1.2018 mới có hiệu lực. Ttrong số đó chính là mức đóng bảo hiểm xã hội bắt buộc.</w:t>
      </w:r>
    </w:p>
    <w:p w:rsidR="000C0B6C" w:rsidRPr="00F656B5" w:rsidRDefault="000C0B6C" w:rsidP="000C0B6C">
      <w:pPr>
        <w:pStyle w:val="NormalWeb"/>
        <w:spacing w:before="0" w:beforeAutospacing="0" w:after="0" w:afterAutospacing="0" w:line="360" w:lineRule="auto"/>
        <w:rPr>
          <w:sz w:val="28"/>
          <w:szCs w:val="28"/>
        </w:rPr>
      </w:pPr>
      <w:r w:rsidRPr="00F656B5">
        <w:rPr>
          <w:rStyle w:val="Strong"/>
          <w:sz w:val="28"/>
          <w:szCs w:val="28"/>
        </w:rPr>
        <w:t>Theo đó quỹ BHXH được phân chia thành các quỹ thành phần sau:</w:t>
      </w:r>
    </w:p>
    <w:p w:rsidR="000C0B6C" w:rsidRPr="00F656B5" w:rsidRDefault="000C0B6C" w:rsidP="000C0B6C">
      <w:pPr>
        <w:numPr>
          <w:ilvl w:val="0"/>
          <w:numId w:val="1"/>
        </w:numPr>
        <w:tabs>
          <w:tab w:val="left" w:pos="720"/>
        </w:tabs>
        <w:spacing w:line="360" w:lineRule="auto"/>
        <w:rPr>
          <w:rFonts w:ascii="Times New Roman" w:hAnsi="Times New Roman"/>
          <w:sz w:val="28"/>
          <w:szCs w:val="28"/>
        </w:rPr>
      </w:pPr>
      <w:r w:rsidRPr="00F656B5">
        <w:rPr>
          <w:rFonts w:ascii="Times New Roman" w:hAnsi="Times New Roman"/>
          <w:sz w:val="28"/>
          <w:szCs w:val="28"/>
        </w:rPr>
        <w:t>Quỹ ốm đau và thai sản</w:t>
      </w:r>
    </w:p>
    <w:p w:rsidR="000C0B6C" w:rsidRPr="00F656B5" w:rsidRDefault="000C0B6C" w:rsidP="000C0B6C">
      <w:pPr>
        <w:numPr>
          <w:ilvl w:val="0"/>
          <w:numId w:val="1"/>
        </w:numPr>
        <w:tabs>
          <w:tab w:val="left" w:pos="720"/>
        </w:tabs>
        <w:spacing w:line="360" w:lineRule="auto"/>
        <w:rPr>
          <w:rFonts w:ascii="Times New Roman" w:hAnsi="Times New Roman"/>
          <w:sz w:val="28"/>
          <w:szCs w:val="28"/>
        </w:rPr>
      </w:pPr>
      <w:r w:rsidRPr="00F656B5">
        <w:rPr>
          <w:rFonts w:ascii="Times New Roman" w:hAnsi="Times New Roman"/>
          <w:sz w:val="28"/>
          <w:szCs w:val="28"/>
        </w:rPr>
        <w:t>Quỹ tai nạn lao động, bệnh nghề nghiệp</w:t>
      </w:r>
    </w:p>
    <w:p w:rsidR="000C0B6C" w:rsidRPr="00F656B5" w:rsidRDefault="000C0B6C" w:rsidP="000C0B6C">
      <w:pPr>
        <w:numPr>
          <w:ilvl w:val="0"/>
          <w:numId w:val="1"/>
        </w:numPr>
        <w:tabs>
          <w:tab w:val="left" w:pos="720"/>
        </w:tabs>
        <w:spacing w:line="360" w:lineRule="auto"/>
        <w:rPr>
          <w:rFonts w:ascii="Times New Roman" w:hAnsi="Times New Roman"/>
          <w:sz w:val="28"/>
          <w:szCs w:val="28"/>
        </w:rPr>
      </w:pPr>
      <w:r w:rsidRPr="00F656B5">
        <w:rPr>
          <w:rFonts w:ascii="Times New Roman" w:hAnsi="Times New Roman"/>
          <w:sz w:val="28"/>
          <w:szCs w:val="28"/>
        </w:rPr>
        <w:t>Quỹ hưu trí tử tuất</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Quỹ hưu trí và tử tuất được sử dụng để chi trả chế độ cho cả đối tượng tham gia bắt buộc và tham gia tự nguyện. Trước đây, hai quỹ này tách biệt.</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Đồng thời, từ 1.1.2018 tiền lương đóng BHXH sẽ bao gồm tiền lương, phụ cấp lương và các khoản bổ sung khác. Cụ thể các bạn tham khảo bài Tổng hợp các khoản tính đóng và không tính đóng BHXH từ năm 2018 để nắm được các khoản tính đóng và không tính đóng BHXH từ năm 2018.</w:t>
      </w:r>
    </w:p>
    <w:p w:rsidR="000C0B6C" w:rsidRPr="00F656B5" w:rsidRDefault="000C0B6C" w:rsidP="000C0B6C">
      <w:pPr>
        <w:pStyle w:val="NormalWeb"/>
        <w:spacing w:before="0" w:beforeAutospacing="0" w:after="0" w:afterAutospacing="0" w:line="360" w:lineRule="auto"/>
        <w:rPr>
          <w:sz w:val="28"/>
          <w:szCs w:val="28"/>
        </w:rPr>
      </w:pPr>
      <w:r w:rsidRPr="00F656B5">
        <w:rPr>
          <w:rStyle w:val="Strong"/>
          <w:sz w:val="28"/>
          <w:szCs w:val="28"/>
        </w:rPr>
        <w:t xml:space="preserve">Từ 1.1.2018, mức đóng BHXH bắt buộc gồm các khoản sau: </w:t>
      </w:r>
    </w:p>
    <w:p w:rsidR="000C0B6C" w:rsidRPr="00F656B5" w:rsidRDefault="000C0B6C" w:rsidP="000C0B6C">
      <w:pPr>
        <w:numPr>
          <w:ilvl w:val="0"/>
          <w:numId w:val="2"/>
        </w:numPr>
        <w:tabs>
          <w:tab w:val="left" w:pos="720"/>
        </w:tabs>
        <w:spacing w:line="360" w:lineRule="auto"/>
        <w:rPr>
          <w:rFonts w:ascii="Times New Roman" w:hAnsi="Times New Roman"/>
          <w:sz w:val="28"/>
          <w:szCs w:val="28"/>
        </w:rPr>
      </w:pPr>
      <w:r w:rsidRPr="00F656B5">
        <w:rPr>
          <w:rFonts w:ascii="Times New Roman" w:hAnsi="Times New Roman"/>
          <w:sz w:val="28"/>
          <w:szCs w:val="28"/>
        </w:rPr>
        <w:t>Quỹ hưu trí, tử tuất;</w:t>
      </w:r>
    </w:p>
    <w:p w:rsidR="000C0B6C" w:rsidRPr="00F656B5" w:rsidRDefault="000C0B6C" w:rsidP="000C0B6C">
      <w:pPr>
        <w:numPr>
          <w:ilvl w:val="0"/>
          <w:numId w:val="2"/>
        </w:numPr>
        <w:tabs>
          <w:tab w:val="left" w:pos="720"/>
        </w:tabs>
        <w:spacing w:line="360" w:lineRule="auto"/>
        <w:rPr>
          <w:rFonts w:ascii="Times New Roman" w:hAnsi="Times New Roman"/>
          <w:sz w:val="28"/>
          <w:szCs w:val="28"/>
        </w:rPr>
      </w:pPr>
      <w:r w:rsidRPr="00F656B5">
        <w:rPr>
          <w:rFonts w:ascii="Times New Roman" w:hAnsi="Times New Roman"/>
          <w:sz w:val="28"/>
          <w:szCs w:val="28"/>
        </w:rPr>
        <w:t>Quỹ tai nạn lao động, bệnh nghề nghiệp;</w:t>
      </w:r>
    </w:p>
    <w:p w:rsidR="000C0B6C" w:rsidRPr="00F656B5" w:rsidRDefault="000C0B6C" w:rsidP="000C0B6C">
      <w:pPr>
        <w:numPr>
          <w:ilvl w:val="0"/>
          <w:numId w:val="2"/>
        </w:numPr>
        <w:tabs>
          <w:tab w:val="left" w:pos="720"/>
        </w:tabs>
        <w:spacing w:line="360" w:lineRule="auto"/>
        <w:rPr>
          <w:rFonts w:ascii="Times New Roman" w:hAnsi="Times New Roman"/>
          <w:sz w:val="28"/>
          <w:szCs w:val="28"/>
        </w:rPr>
      </w:pPr>
      <w:r w:rsidRPr="00F656B5">
        <w:rPr>
          <w:rFonts w:ascii="Times New Roman" w:hAnsi="Times New Roman"/>
          <w:sz w:val="28"/>
          <w:szCs w:val="28"/>
        </w:rPr>
        <w:t>Quỹ ốm đau, thai sản;</w:t>
      </w:r>
    </w:p>
    <w:p w:rsidR="000C0B6C" w:rsidRPr="00F656B5" w:rsidRDefault="000C0B6C" w:rsidP="000C0B6C">
      <w:pPr>
        <w:numPr>
          <w:ilvl w:val="0"/>
          <w:numId w:val="2"/>
        </w:numPr>
        <w:tabs>
          <w:tab w:val="left" w:pos="720"/>
        </w:tabs>
        <w:spacing w:line="360" w:lineRule="auto"/>
        <w:rPr>
          <w:rFonts w:ascii="Times New Roman" w:hAnsi="Times New Roman"/>
          <w:sz w:val="28"/>
          <w:szCs w:val="28"/>
        </w:rPr>
      </w:pPr>
      <w:r w:rsidRPr="00F656B5">
        <w:rPr>
          <w:rFonts w:ascii="Times New Roman" w:hAnsi="Times New Roman"/>
          <w:sz w:val="28"/>
          <w:szCs w:val="28"/>
        </w:rPr>
        <w:t>Quỹ bảo hiểm thất nghiệp; quỹ bảo hiểm y tế.</w:t>
      </w:r>
    </w:p>
    <w:p w:rsidR="000C0B6C" w:rsidRDefault="000C0B6C" w:rsidP="000C0B6C">
      <w:pPr>
        <w:pStyle w:val="NormalWeb"/>
        <w:spacing w:before="0" w:beforeAutospacing="0" w:after="0" w:afterAutospacing="0" w:line="360" w:lineRule="auto"/>
        <w:rPr>
          <w:sz w:val="28"/>
          <w:szCs w:val="28"/>
        </w:rPr>
      </w:pPr>
      <w:r w:rsidRPr="00F656B5">
        <w:rPr>
          <w:sz w:val="28"/>
          <w:szCs w:val="28"/>
        </w:rPr>
        <w:t>Căn cứ: Luật BHXH 2014, Luật Việc làm 2013, Nghị định 105/2014/NĐ-CP, Nghị định 44/2017/NĐ-CP</w:t>
      </w:r>
    </w:p>
    <w:p w:rsidR="000C0B6C" w:rsidRDefault="000C0B6C" w:rsidP="000C0B6C">
      <w:pPr>
        <w:rPr>
          <w:rFonts w:ascii="Times New Roman" w:hAnsi="Times New Roman"/>
        </w:rPr>
      </w:pPr>
      <w:r>
        <w:br w:type="page"/>
      </w:r>
    </w:p>
    <w:p w:rsidR="000C0B6C" w:rsidRPr="00F656B5" w:rsidRDefault="000C0B6C" w:rsidP="000C0B6C">
      <w:pPr>
        <w:pStyle w:val="NormalWeb"/>
        <w:spacing w:before="0" w:beforeAutospacing="0" w:after="0" w:afterAutospacing="0" w:line="360" w:lineRule="auto"/>
        <w:rPr>
          <w:sz w:val="28"/>
          <w:szCs w:val="28"/>
        </w:rPr>
      </w:pPr>
    </w:p>
    <w:tbl>
      <w:tblPr>
        <w:tblW w:w="9720" w:type="dxa"/>
        <w:tblCellSpacing w:w="15" w:type="dxa"/>
        <w:tblInd w:w="-548"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779"/>
        <w:gridCol w:w="1437"/>
        <w:gridCol w:w="781"/>
        <w:gridCol w:w="853"/>
        <w:gridCol w:w="854"/>
        <w:gridCol w:w="757"/>
        <w:gridCol w:w="1430"/>
        <w:gridCol w:w="781"/>
        <w:gridCol w:w="968"/>
        <w:gridCol w:w="1080"/>
      </w:tblGrid>
      <w:tr w:rsidR="000C0B6C" w:rsidRPr="00F656B5" w:rsidTr="001C442B">
        <w:trPr>
          <w:trHeight w:val="463"/>
          <w:tblCellSpacing w:w="15" w:type="dxa"/>
        </w:trPr>
        <w:tc>
          <w:tcPr>
            <w:tcW w:w="4659" w:type="dxa"/>
            <w:gridSpan w:val="5"/>
            <w:tcBorders>
              <w:top w:val="single" w:sz="4" w:space="0" w:color="auto"/>
              <w:left w:val="single" w:sz="6" w:space="0" w:color="000000"/>
              <w:bottom w:val="single" w:sz="4" w:space="0" w:color="auto"/>
              <w:right w:val="single" w:sz="4" w:space="0" w:color="auto"/>
            </w:tcBorders>
            <w:vAlign w:val="center"/>
          </w:tcPr>
          <w:p w:rsidR="000C0B6C" w:rsidRPr="00F656B5" w:rsidRDefault="000C0B6C" w:rsidP="001C442B">
            <w:pPr>
              <w:spacing w:line="360" w:lineRule="auto"/>
              <w:ind w:left="-75" w:firstLine="75"/>
              <w:rPr>
                <w:rFonts w:ascii="Times New Roman" w:hAnsi="Times New Roman"/>
                <w:sz w:val="28"/>
                <w:szCs w:val="28"/>
              </w:rPr>
            </w:pPr>
            <w:r w:rsidRPr="00F656B5">
              <w:rPr>
                <w:rStyle w:val="Strong"/>
                <w:rFonts w:ascii="Times New Roman" w:hAnsi="Times New Roman"/>
                <w:sz w:val="28"/>
                <w:szCs w:val="28"/>
                <w:lang w:bidi="ar"/>
              </w:rPr>
              <w:t>Người sử dụng lao động</w:t>
            </w:r>
          </w:p>
        </w:tc>
        <w:tc>
          <w:tcPr>
            <w:tcW w:w="4971" w:type="dxa"/>
            <w:gridSpan w:val="5"/>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Người lao động</w:t>
            </w:r>
          </w:p>
        </w:tc>
      </w:tr>
      <w:tr w:rsidR="000C0B6C" w:rsidRPr="00F656B5" w:rsidTr="001C442B">
        <w:trPr>
          <w:trHeight w:val="463"/>
          <w:tblCellSpacing w:w="15" w:type="dxa"/>
        </w:trPr>
        <w:tc>
          <w:tcPr>
            <w:tcW w:w="2952" w:type="dxa"/>
            <w:gridSpan w:val="3"/>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BHXH</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BHTN</w:t>
            </w: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BHYT</w:t>
            </w:r>
          </w:p>
        </w:tc>
        <w:tc>
          <w:tcPr>
            <w:tcW w:w="2938" w:type="dxa"/>
            <w:gridSpan w:val="3"/>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BHXH</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BHTN</w:t>
            </w:r>
          </w:p>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Style w:val="Strong"/>
                <w:rFonts w:ascii="Times New Roman" w:hAnsi="Times New Roman"/>
                <w:sz w:val="28"/>
                <w:szCs w:val="28"/>
                <w:lang w:bidi="ar"/>
              </w:rPr>
              <w:t>BHYT</w:t>
            </w:r>
          </w:p>
        </w:tc>
      </w:tr>
      <w:tr w:rsidR="000C0B6C" w:rsidRPr="00F656B5" w:rsidTr="001C442B">
        <w:trPr>
          <w:trHeight w:val="500"/>
          <w:tblCellSpacing w:w="15" w:type="dxa"/>
        </w:trPr>
        <w:tc>
          <w:tcPr>
            <w:tcW w:w="73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Hưu trí</w:t>
            </w:r>
          </w:p>
        </w:tc>
        <w:tc>
          <w:tcPr>
            <w:tcW w:w="1407"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Tai nạn lao động</w:t>
            </w:r>
          </w:p>
        </w:tc>
        <w:tc>
          <w:tcPr>
            <w:tcW w:w="751"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Ốm đau</w:t>
            </w:r>
          </w:p>
        </w:tc>
        <w:tc>
          <w:tcPr>
            <w:tcW w:w="823" w:type="dxa"/>
            <w:vMerge/>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p>
        </w:tc>
        <w:tc>
          <w:tcPr>
            <w:tcW w:w="727"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Hưu trí</w:t>
            </w:r>
          </w:p>
        </w:tc>
        <w:tc>
          <w:tcPr>
            <w:tcW w:w="1400"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Tai nạn lao động</w:t>
            </w:r>
          </w:p>
        </w:tc>
        <w:tc>
          <w:tcPr>
            <w:tcW w:w="751"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Ốm đau</w:t>
            </w:r>
          </w:p>
        </w:tc>
        <w:tc>
          <w:tcPr>
            <w:tcW w:w="938" w:type="dxa"/>
            <w:vMerge/>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p>
        </w:tc>
        <w:tc>
          <w:tcPr>
            <w:tcW w:w="1035" w:type="dxa"/>
            <w:vMerge/>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p>
        </w:tc>
      </w:tr>
      <w:tr w:rsidR="000C0B6C" w:rsidRPr="00F656B5" w:rsidTr="001C442B">
        <w:trPr>
          <w:trHeight w:val="537"/>
          <w:tblCellSpacing w:w="15" w:type="dxa"/>
        </w:trPr>
        <w:tc>
          <w:tcPr>
            <w:tcW w:w="73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14%</w:t>
            </w:r>
          </w:p>
        </w:tc>
        <w:tc>
          <w:tcPr>
            <w:tcW w:w="1407"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0.5%</w:t>
            </w:r>
          </w:p>
        </w:tc>
        <w:tc>
          <w:tcPr>
            <w:tcW w:w="751"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3%</w:t>
            </w:r>
          </w:p>
        </w:tc>
        <w:tc>
          <w:tcPr>
            <w:tcW w:w="823"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1%</w:t>
            </w:r>
          </w:p>
        </w:tc>
        <w:tc>
          <w:tcPr>
            <w:tcW w:w="82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3%</w:t>
            </w:r>
          </w:p>
        </w:tc>
        <w:tc>
          <w:tcPr>
            <w:tcW w:w="727"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8%</w:t>
            </w:r>
          </w:p>
        </w:tc>
        <w:tc>
          <w:tcPr>
            <w:tcW w:w="1400"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w:t>
            </w:r>
          </w:p>
        </w:tc>
        <w:tc>
          <w:tcPr>
            <w:tcW w:w="751"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w:t>
            </w:r>
          </w:p>
        </w:tc>
        <w:tc>
          <w:tcPr>
            <w:tcW w:w="938"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1%</w:t>
            </w:r>
          </w:p>
        </w:tc>
        <w:tc>
          <w:tcPr>
            <w:tcW w:w="1035"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1.5%</w:t>
            </w:r>
          </w:p>
        </w:tc>
      </w:tr>
      <w:tr w:rsidR="000C0B6C" w:rsidRPr="00F656B5" w:rsidTr="001C442B">
        <w:trPr>
          <w:trHeight w:val="463"/>
          <w:tblCellSpacing w:w="15" w:type="dxa"/>
        </w:trPr>
        <w:tc>
          <w:tcPr>
            <w:tcW w:w="5416" w:type="dxa"/>
            <w:gridSpan w:val="6"/>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21.5%</w:t>
            </w:r>
          </w:p>
        </w:tc>
        <w:tc>
          <w:tcPr>
            <w:tcW w:w="4214" w:type="dxa"/>
            <w:gridSpan w:val="4"/>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10.5%</w:t>
            </w:r>
          </w:p>
        </w:tc>
      </w:tr>
      <w:tr w:rsidR="000C0B6C" w:rsidRPr="00F656B5" w:rsidTr="001C442B">
        <w:trPr>
          <w:trHeight w:val="516"/>
          <w:tblCellSpacing w:w="15" w:type="dxa"/>
        </w:trPr>
        <w:tc>
          <w:tcPr>
            <w:tcW w:w="9660" w:type="dxa"/>
            <w:gridSpan w:val="10"/>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spacing w:line="360" w:lineRule="auto"/>
              <w:rPr>
                <w:rFonts w:ascii="Times New Roman" w:hAnsi="Times New Roman"/>
                <w:sz w:val="28"/>
                <w:szCs w:val="28"/>
              </w:rPr>
            </w:pPr>
            <w:r w:rsidRPr="00F656B5">
              <w:rPr>
                <w:rFonts w:ascii="Times New Roman" w:hAnsi="Times New Roman"/>
                <w:sz w:val="28"/>
                <w:szCs w:val="28"/>
                <w:lang w:bidi="ar"/>
              </w:rPr>
              <w:t>Tổng cộng 32%</w:t>
            </w:r>
          </w:p>
        </w:tc>
      </w:tr>
    </w:tbl>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Trong đó, chủ sử dụng lao động đóng 14% vào quỹ hưu trí, tử tuất; 0,5% quỹ tai nạn lao động, bệnh nghề nghiệp; 3% quỹ ốm đau thai sản; 1% quỹ bảo hiểm thất nghiệp, 3% quỹ bảo hiểm y tế.</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Người lao động sẽ đóng 8% vào quỹ hưu trí, tử tuất; 1% quỹ bảo hiểm thất nghiệp và 1,5% vào quỹ bảo hiểm y tế.</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Tổng mức BHXH bắt buộc phải đóng của cả chủ sử dụng lao động và người lao động là 32%.</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Bên cạnh đó, cũng từ ngày 1.1.2018, người làm việc theo HĐLĐ có thời hạn từ đủ 1 tháng đến dưới 3 tháng cũng phải tham gia đóng BHXH bắt buộc. Hiện đối tượng lao động này không phải đóng BHXH bắt buộc.</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Người lao động nước ngoài nếu đã được cấp giấy phép lao động, chứng chỉ hành nghề hoặc giấy phép hành nghề bởi cơ quan có thẩm quyền của Việt Nam cũng là đối tượng bắt buộc tham gia bảo hiểm xã hội từ năm 2018 theo quy định của Luật Bảo hiểm xã hội 2014.</w:t>
      </w:r>
    </w:p>
    <w:p w:rsidR="000C0B6C" w:rsidRPr="00F656B5" w:rsidRDefault="000C0B6C" w:rsidP="000C0B6C">
      <w:pPr>
        <w:pStyle w:val="Heading3"/>
        <w:spacing w:before="0" w:beforeAutospacing="0" w:after="0" w:afterAutospacing="0" w:line="360" w:lineRule="auto"/>
        <w:rPr>
          <w:rFonts w:ascii="Times New Roman" w:hAnsi="Times New Roman" w:hint="default"/>
          <w:sz w:val="28"/>
          <w:szCs w:val="28"/>
        </w:rPr>
      </w:pPr>
      <w:r w:rsidRPr="00F656B5">
        <w:rPr>
          <w:rFonts w:ascii="Times New Roman" w:hAnsi="Times New Roman" w:hint="default"/>
          <w:sz w:val="28"/>
          <w:szCs w:val="28"/>
        </w:rPr>
        <w:t>Tăng lương tối thiểu năm 2018</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lastRenderedPageBreak/>
        <w:t>Chính phủ đã ban hành Nghị định 141/2017/NĐ-CP quy định về tăng mức lương tối thiểu vùng 2018, có hiệu lực từ ngày 01/01/2018. Cho nên, mức đóng BHXH của người lao động từ ngày 1/1/2018 sẽ có sự thay đổi, cụ thể như sau:</w:t>
      </w:r>
    </w:p>
    <w:tbl>
      <w:tblPr>
        <w:tblW w:w="908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
        <w:gridCol w:w="2601"/>
        <w:gridCol w:w="3133"/>
        <w:gridCol w:w="2526"/>
      </w:tblGrid>
      <w:tr w:rsidR="000C0B6C" w:rsidRPr="00F656B5" w:rsidTr="001C442B">
        <w:trPr>
          <w:trHeight w:val="1056"/>
          <w:tblCellSpacing w:w="0" w:type="dxa"/>
          <w:jc w:val="center"/>
        </w:trPr>
        <w:tc>
          <w:tcPr>
            <w:tcW w:w="829" w:type="dxa"/>
            <w:vMerge w:val="restart"/>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Vùng</w:t>
            </w:r>
          </w:p>
        </w:tc>
        <w:tc>
          <w:tcPr>
            <w:tcW w:w="2601" w:type="dxa"/>
            <w:vMerge w:val="restart"/>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Mức lương tối thiểu vùng năm 2018</w:t>
            </w:r>
            <w:r w:rsidRPr="00F656B5">
              <w:rPr>
                <w:rStyle w:val="Strong"/>
                <w:sz w:val="28"/>
                <w:szCs w:val="28"/>
              </w:rPr>
              <w:br/>
              <w:t>Nghị định 141/2017/NĐ-CP</w:t>
            </w:r>
          </w:p>
        </w:tc>
        <w:tc>
          <w:tcPr>
            <w:tcW w:w="5659" w:type="dxa"/>
            <w:gridSpan w:val="2"/>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Mức lương thấp nhất để tham gia bảo hiểm bắt buộc</w:t>
            </w:r>
          </w:p>
        </w:tc>
      </w:tr>
      <w:tr w:rsidR="000C0B6C" w:rsidRPr="00F656B5" w:rsidTr="001C442B">
        <w:trPr>
          <w:trHeight w:val="1576"/>
          <w:tblCellSpacing w:w="0" w:type="dxa"/>
          <w:jc w:val="center"/>
        </w:trPr>
        <w:tc>
          <w:tcPr>
            <w:tcW w:w="829" w:type="dxa"/>
            <w:vMerge/>
            <w:vAlign w:val="center"/>
          </w:tcPr>
          <w:p w:rsidR="000C0B6C" w:rsidRPr="00F656B5" w:rsidRDefault="000C0B6C" w:rsidP="001C442B">
            <w:pPr>
              <w:spacing w:line="360" w:lineRule="auto"/>
              <w:jc w:val="center"/>
              <w:rPr>
                <w:rFonts w:ascii="Times New Roman" w:hAnsi="Times New Roman"/>
                <w:sz w:val="28"/>
                <w:szCs w:val="28"/>
              </w:rPr>
            </w:pPr>
          </w:p>
        </w:tc>
        <w:tc>
          <w:tcPr>
            <w:tcW w:w="2601" w:type="dxa"/>
            <w:vMerge/>
            <w:vAlign w:val="center"/>
          </w:tcPr>
          <w:p w:rsidR="000C0B6C" w:rsidRPr="00F656B5" w:rsidRDefault="000C0B6C" w:rsidP="001C442B">
            <w:pPr>
              <w:spacing w:line="360" w:lineRule="auto"/>
              <w:jc w:val="center"/>
              <w:rPr>
                <w:rFonts w:ascii="Times New Roman" w:hAnsi="Times New Roman"/>
                <w:sz w:val="28"/>
                <w:szCs w:val="28"/>
              </w:rPr>
            </w:pPr>
          </w:p>
        </w:tc>
        <w:tc>
          <w:tcPr>
            <w:tcW w:w="3133"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 xml:space="preserve">Đối với lao động chưa qua học nghề </w:t>
            </w:r>
            <w:r w:rsidRPr="00F656B5">
              <w:rPr>
                <w:rStyle w:val="Emphasis"/>
                <w:sz w:val="28"/>
                <w:szCs w:val="28"/>
              </w:rPr>
              <w:t>(làm công việc đơn giản nhất)</w:t>
            </w:r>
          </w:p>
        </w:tc>
        <w:tc>
          <w:tcPr>
            <w:tcW w:w="2526"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Đối với lao động đã qua học nghề</w:t>
            </w:r>
            <w:r w:rsidRPr="00F656B5">
              <w:rPr>
                <w:rStyle w:val="Emphasis"/>
                <w:sz w:val="28"/>
                <w:szCs w:val="28"/>
              </w:rPr>
              <w:t xml:space="preserve"> (cộng thêm 7%)</w:t>
            </w:r>
          </w:p>
        </w:tc>
      </w:tr>
      <w:tr w:rsidR="000C0B6C" w:rsidRPr="00F656B5" w:rsidTr="001C442B">
        <w:trPr>
          <w:trHeight w:val="503"/>
          <w:tblCellSpacing w:w="0" w:type="dxa"/>
          <w:jc w:val="center"/>
        </w:trPr>
        <w:tc>
          <w:tcPr>
            <w:tcW w:w="829"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I</w:t>
            </w:r>
          </w:p>
        </w:tc>
        <w:tc>
          <w:tcPr>
            <w:tcW w:w="2601"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3.980.000</w:t>
            </w:r>
          </w:p>
        </w:tc>
        <w:tc>
          <w:tcPr>
            <w:tcW w:w="3133"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3.980.000</w:t>
            </w:r>
          </w:p>
        </w:tc>
        <w:tc>
          <w:tcPr>
            <w:tcW w:w="2526"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4.258.600</w:t>
            </w:r>
          </w:p>
        </w:tc>
      </w:tr>
      <w:tr w:rsidR="000C0B6C" w:rsidRPr="00F656B5" w:rsidTr="001C442B">
        <w:trPr>
          <w:trHeight w:val="520"/>
          <w:tblCellSpacing w:w="0" w:type="dxa"/>
          <w:jc w:val="center"/>
        </w:trPr>
        <w:tc>
          <w:tcPr>
            <w:tcW w:w="829"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II</w:t>
            </w:r>
          </w:p>
        </w:tc>
        <w:tc>
          <w:tcPr>
            <w:tcW w:w="2601"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3.530.000</w:t>
            </w:r>
          </w:p>
        </w:tc>
        <w:tc>
          <w:tcPr>
            <w:tcW w:w="3133"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3.530.000</w:t>
            </w:r>
          </w:p>
        </w:tc>
        <w:tc>
          <w:tcPr>
            <w:tcW w:w="2526"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3.777.100</w:t>
            </w:r>
          </w:p>
        </w:tc>
      </w:tr>
      <w:tr w:rsidR="000C0B6C" w:rsidRPr="00F656B5" w:rsidTr="001C442B">
        <w:trPr>
          <w:trHeight w:val="520"/>
          <w:tblCellSpacing w:w="0" w:type="dxa"/>
          <w:jc w:val="center"/>
        </w:trPr>
        <w:tc>
          <w:tcPr>
            <w:tcW w:w="829"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III</w:t>
            </w:r>
          </w:p>
        </w:tc>
        <w:tc>
          <w:tcPr>
            <w:tcW w:w="2601"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3.090.000</w:t>
            </w:r>
          </w:p>
        </w:tc>
        <w:tc>
          <w:tcPr>
            <w:tcW w:w="3133"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3.090.000</w:t>
            </w:r>
          </w:p>
        </w:tc>
        <w:tc>
          <w:tcPr>
            <w:tcW w:w="2526"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3.306.300</w:t>
            </w:r>
          </w:p>
        </w:tc>
      </w:tr>
      <w:tr w:rsidR="000C0B6C" w:rsidRPr="00F656B5" w:rsidTr="001C442B">
        <w:trPr>
          <w:trHeight w:val="503"/>
          <w:tblCellSpacing w:w="0" w:type="dxa"/>
          <w:jc w:val="center"/>
        </w:trPr>
        <w:tc>
          <w:tcPr>
            <w:tcW w:w="829"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IV</w:t>
            </w:r>
          </w:p>
        </w:tc>
        <w:tc>
          <w:tcPr>
            <w:tcW w:w="2601"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rStyle w:val="Strong"/>
                <w:sz w:val="28"/>
                <w:szCs w:val="28"/>
              </w:rPr>
              <w:t>2.760.000</w:t>
            </w:r>
          </w:p>
        </w:tc>
        <w:tc>
          <w:tcPr>
            <w:tcW w:w="3133"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2.760.000</w:t>
            </w:r>
          </w:p>
        </w:tc>
        <w:tc>
          <w:tcPr>
            <w:tcW w:w="2526" w:type="dxa"/>
            <w:vAlign w:val="center"/>
          </w:tcPr>
          <w:p w:rsidR="000C0B6C" w:rsidRPr="00F656B5" w:rsidRDefault="000C0B6C" w:rsidP="001C442B">
            <w:pPr>
              <w:pStyle w:val="NormalWeb"/>
              <w:spacing w:before="0" w:beforeAutospacing="0" w:after="0" w:afterAutospacing="0" w:line="360" w:lineRule="auto"/>
              <w:jc w:val="center"/>
              <w:rPr>
                <w:sz w:val="28"/>
                <w:szCs w:val="28"/>
              </w:rPr>
            </w:pPr>
            <w:r w:rsidRPr="00F656B5">
              <w:rPr>
                <w:sz w:val="28"/>
                <w:szCs w:val="28"/>
              </w:rPr>
              <w:t>2.953.200</w:t>
            </w:r>
          </w:p>
        </w:tc>
      </w:tr>
    </w:tbl>
    <w:p w:rsidR="000C0B6C" w:rsidRPr="00F656B5" w:rsidRDefault="000C0B6C" w:rsidP="000C0B6C">
      <w:pPr>
        <w:pStyle w:val="NormalWeb"/>
        <w:spacing w:before="0" w:beforeAutospacing="0" w:after="0" w:afterAutospacing="0" w:line="360" w:lineRule="auto"/>
        <w:rPr>
          <w:sz w:val="28"/>
          <w:szCs w:val="28"/>
        </w:rPr>
      </w:pPr>
      <w:r w:rsidRPr="00F656B5">
        <w:rPr>
          <w:rStyle w:val="Emphasis"/>
          <w:sz w:val="28"/>
          <w:szCs w:val="28"/>
        </w:rPr>
        <w:t>ĐVT: Đồng/Tháng</w:t>
      </w:r>
    </w:p>
    <w:p w:rsidR="000C0B6C" w:rsidRPr="00F656B5" w:rsidRDefault="000C0B6C" w:rsidP="000C0B6C">
      <w:pPr>
        <w:pStyle w:val="NormalWeb"/>
        <w:spacing w:before="0" w:beforeAutospacing="0" w:after="0" w:afterAutospacing="0" w:line="360" w:lineRule="auto"/>
        <w:rPr>
          <w:sz w:val="28"/>
          <w:szCs w:val="28"/>
        </w:rPr>
      </w:pPr>
      <w:r w:rsidRPr="00F656B5">
        <w:rPr>
          <w:rStyle w:val="Strong"/>
          <w:sz w:val="28"/>
          <w:szCs w:val="28"/>
        </w:rPr>
        <w:t>Lưu ý:</w:t>
      </w:r>
    </w:p>
    <w:p w:rsidR="000C0B6C" w:rsidRPr="00F656B5" w:rsidRDefault="000C0B6C" w:rsidP="000C0B6C">
      <w:pPr>
        <w:numPr>
          <w:ilvl w:val="0"/>
          <w:numId w:val="3"/>
        </w:numPr>
        <w:tabs>
          <w:tab w:val="left" w:pos="720"/>
        </w:tabs>
        <w:spacing w:line="360" w:lineRule="auto"/>
        <w:rPr>
          <w:rFonts w:ascii="Times New Roman" w:hAnsi="Times New Roman"/>
          <w:sz w:val="28"/>
          <w:szCs w:val="28"/>
        </w:rPr>
      </w:pPr>
      <w:r w:rsidRPr="00F656B5">
        <w:rPr>
          <w:rStyle w:val="Emphasis"/>
          <w:rFonts w:ascii="Times New Roman" w:hAnsi="Times New Roman"/>
          <w:sz w:val="28"/>
          <w:szCs w:val="28"/>
        </w:rPr>
        <w:t>Mức tiền lương tháng đóng BHXH bắt buộc, BHYT không được cao hơn 20 lần mức lương cơ sở.</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Hiện hành, mức lương cơ sở là 1.300.000 đồng/tháng (theo Nghị định 47/2017/NĐ-CP). Như vậy: Mức lương đóng BHXH bắt buộc không được cao hơn: 20 x 1.300.000 đồng/tháng = 26.000.000 đồng.</w:t>
      </w: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Từ ngày 01/07/2018, mức lương cơ sở sẽ là 1.390.000 đồng/tháng (theo Quyết định 1916/QĐ-TTg ngày 29/11/2017 của Thủ tướng Chính phủ về việc giao dự toán Ngân sách Nhà nước năm 2018.)</w:t>
      </w:r>
    </w:p>
    <w:p w:rsidR="000C0B6C" w:rsidRPr="00F656B5" w:rsidRDefault="000C0B6C" w:rsidP="000C0B6C">
      <w:pPr>
        <w:numPr>
          <w:ilvl w:val="0"/>
          <w:numId w:val="4"/>
        </w:numPr>
        <w:tabs>
          <w:tab w:val="left" w:pos="720"/>
        </w:tabs>
        <w:spacing w:line="360" w:lineRule="auto"/>
        <w:rPr>
          <w:rFonts w:ascii="Times New Roman" w:hAnsi="Times New Roman"/>
          <w:sz w:val="28"/>
          <w:szCs w:val="28"/>
        </w:rPr>
      </w:pPr>
      <w:r w:rsidRPr="00F656B5">
        <w:rPr>
          <w:rStyle w:val="Emphasis"/>
          <w:rFonts w:ascii="Times New Roman" w:hAnsi="Times New Roman"/>
          <w:sz w:val="28"/>
          <w:szCs w:val="28"/>
        </w:rPr>
        <w:t>Mức tiền lương tháng đóng BHTN tối đa bằng 20 tháng lương tối thiểu vùng.</w:t>
      </w:r>
    </w:p>
    <w:p w:rsidR="000C0B6C" w:rsidRDefault="000C0B6C" w:rsidP="000C0B6C">
      <w:pPr>
        <w:pStyle w:val="NormalWeb"/>
        <w:spacing w:before="0" w:beforeAutospacing="0" w:after="0" w:afterAutospacing="0" w:line="360" w:lineRule="auto"/>
        <w:rPr>
          <w:sz w:val="28"/>
          <w:szCs w:val="28"/>
        </w:rPr>
      </w:pPr>
      <w:r w:rsidRPr="00F656B5">
        <w:rPr>
          <w:sz w:val="28"/>
          <w:szCs w:val="28"/>
        </w:rPr>
        <w:lastRenderedPageBreak/>
        <w:t>Mặt khác, theo quy định tại Luật BHXH 2014, Luật việc làm 2013 và Nghị định 105/2014/NĐ-CP, tỷ lệ trích đóng BHXH, bảo hiểm y tế (BHYT), bảo hiểm thất nghiệp (BHTN) của người lao động theo mức lương tối thiểu là:</w:t>
      </w:r>
    </w:p>
    <w:p w:rsidR="000C0B6C" w:rsidRDefault="000C0B6C" w:rsidP="000C0B6C">
      <w:pPr>
        <w:rPr>
          <w:rFonts w:ascii="Times New Roman" w:hAnsi="Times New Roman"/>
        </w:rPr>
      </w:pPr>
      <w:r>
        <w:br w:type="page"/>
      </w:r>
    </w:p>
    <w:p w:rsidR="000C0B6C" w:rsidRPr="00F656B5" w:rsidRDefault="000C0B6C" w:rsidP="000C0B6C">
      <w:pPr>
        <w:pStyle w:val="NormalWeb"/>
        <w:spacing w:before="0" w:beforeAutospacing="0" w:after="0" w:afterAutospacing="0" w:line="360" w:lineRule="auto"/>
        <w:rPr>
          <w:sz w:val="28"/>
          <w:szCs w:val="28"/>
        </w:rPr>
      </w:pPr>
    </w:p>
    <w:tbl>
      <w:tblPr>
        <w:tblW w:w="9398" w:type="dxa"/>
        <w:jc w:val="center"/>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6975"/>
        <w:gridCol w:w="2423"/>
      </w:tblGrid>
      <w:tr w:rsidR="000C0B6C" w:rsidRPr="00F656B5" w:rsidTr="001C442B">
        <w:trPr>
          <w:trHeight w:val="678"/>
          <w:tblCellSpacing w:w="15" w:type="dxa"/>
          <w:jc w:val="center"/>
        </w:trPr>
        <w:tc>
          <w:tcPr>
            <w:tcW w:w="6930" w:type="dxa"/>
            <w:tcBorders>
              <w:top w:val="single" w:sz="4" w:space="0" w:color="auto"/>
              <w:left w:val="single" w:sz="6" w:space="0" w:color="000000"/>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rStyle w:val="Strong"/>
                <w:sz w:val="28"/>
                <w:szCs w:val="28"/>
              </w:rPr>
              <w:t>Các khoản đóng theo BHXH</w:t>
            </w:r>
          </w:p>
        </w:tc>
        <w:tc>
          <w:tcPr>
            <w:tcW w:w="2378"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rStyle w:val="Strong"/>
                <w:sz w:val="28"/>
                <w:szCs w:val="28"/>
              </w:rPr>
              <w:t>Tỷ lệ (%)</w:t>
            </w:r>
          </w:p>
        </w:tc>
      </w:tr>
      <w:tr w:rsidR="000C0B6C" w:rsidRPr="00F656B5" w:rsidTr="001C442B">
        <w:trPr>
          <w:trHeight w:val="657"/>
          <w:tblCellSpacing w:w="15" w:type="dxa"/>
          <w:jc w:val="center"/>
        </w:trPr>
        <w:tc>
          <w:tcPr>
            <w:tcW w:w="6930"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BHXH</w:t>
            </w:r>
          </w:p>
        </w:tc>
        <w:tc>
          <w:tcPr>
            <w:tcW w:w="2378"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8</w:t>
            </w:r>
          </w:p>
        </w:tc>
      </w:tr>
      <w:tr w:rsidR="000C0B6C" w:rsidRPr="00F656B5" w:rsidTr="001C442B">
        <w:trPr>
          <w:trHeight w:val="678"/>
          <w:tblCellSpacing w:w="15" w:type="dxa"/>
          <w:jc w:val="center"/>
        </w:trPr>
        <w:tc>
          <w:tcPr>
            <w:tcW w:w="6930"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BHYT</w:t>
            </w:r>
          </w:p>
        </w:tc>
        <w:tc>
          <w:tcPr>
            <w:tcW w:w="2378"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1,5</w:t>
            </w:r>
          </w:p>
        </w:tc>
      </w:tr>
      <w:tr w:rsidR="000C0B6C" w:rsidRPr="00F656B5" w:rsidTr="001C442B">
        <w:trPr>
          <w:trHeight w:val="657"/>
          <w:tblCellSpacing w:w="15" w:type="dxa"/>
          <w:jc w:val="center"/>
        </w:trPr>
        <w:tc>
          <w:tcPr>
            <w:tcW w:w="6930"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BHTN</w:t>
            </w:r>
          </w:p>
        </w:tc>
        <w:tc>
          <w:tcPr>
            <w:tcW w:w="2378"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1</w:t>
            </w:r>
          </w:p>
        </w:tc>
      </w:tr>
      <w:tr w:rsidR="000C0B6C" w:rsidRPr="00F656B5" w:rsidTr="001C442B">
        <w:trPr>
          <w:trHeight w:val="678"/>
          <w:tblCellSpacing w:w="15" w:type="dxa"/>
          <w:jc w:val="center"/>
        </w:trPr>
        <w:tc>
          <w:tcPr>
            <w:tcW w:w="6930"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Tổng cộng</w:t>
            </w:r>
          </w:p>
        </w:tc>
        <w:tc>
          <w:tcPr>
            <w:tcW w:w="2378"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10,5</w:t>
            </w:r>
          </w:p>
        </w:tc>
      </w:tr>
    </w:tbl>
    <w:p w:rsidR="000C0B6C" w:rsidRDefault="000C0B6C" w:rsidP="000C0B6C">
      <w:pPr>
        <w:pStyle w:val="NormalWeb"/>
        <w:spacing w:before="0" w:beforeAutospacing="0" w:after="0" w:afterAutospacing="0" w:line="360" w:lineRule="auto"/>
        <w:rPr>
          <w:sz w:val="28"/>
          <w:szCs w:val="28"/>
        </w:rPr>
      </w:pPr>
    </w:p>
    <w:p w:rsidR="000C0B6C" w:rsidRPr="00F656B5" w:rsidRDefault="000C0B6C" w:rsidP="000C0B6C">
      <w:pPr>
        <w:pStyle w:val="NormalWeb"/>
        <w:spacing w:before="0" w:beforeAutospacing="0" w:after="0" w:afterAutospacing="0" w:line="360" w:lineRule="auto"/>
        <w:rPr>
          <w:sz w:val="28"/>
          <w:szCs w:val="28"/>
        </w:rPr>
      </w:pPr>
      <w:r w:rsidRPr="00F656B5">
        <w:rPr>
          <w:sz w:val="28"/>
          <w:szCs w:val="28"/>
        </w:rPr>
        <w:t>Do đó, mức đóng bảo hiểm xã hội tối thiểu của người lao động từ ngày 01/01/2018 được quy định như sau:</w:t>
      </w:r>
    </w:p>
    <w:tbl>
      <w:tblPr>
        <w:tblW w:w="9413" w:type="dxa"/>
        <w:jc w:val="center"/>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14"/>
        <w:gridCol w:w="8299"/>
      </w:tblGrid>
      <w:tr w:rsidR="000C0B6C" w:rsidRPr="00F656B5" w:rsidTr="001C442B">
        <w:trPr>
          <w:trHeight w:val="703"/>
          <w:tblCellSpacing w:w="15" w:type="dxa"/>
          <w:jc w:val="center"/>
        </w:trPr>
        <w:tc>
          <w:tcPr>
            <w:tcW w:w="1069" w:type="dxa"/>
            <w:tcBorders>
              <w:top w:val="single" w:sz="4" w:space="0" w:color="auto"/>
              <w:left w:val="single" w:sz="6" w:space="0" w:color="000000"/>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rStyle w:val="Strong"/>
                <w:sz w:val="28"/>
                <w:szCs w:val="28"/>
              </w:rPr>
              <w:t>Vùng</w:t>
            </w:r>
          </w:p>
        </w:tc>
        <w:tc>
          <w:tcPr>
            <w:tcW w:w="825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rStyle w:val="Strong"/>
                <w:sz w:val="28"/>
                <w:szCs w:val="28"/>
              </w:rPr>
              <w:t>Mức đóng BHXH tối thiểu của người lao động</w:t>
            </w:r>
          </w:p>
        </w:tc>
      </w:tr>
      <w:tr w:rsidR="000C0B6C" w:rsidRPr="00F656B5" w:rsidTr="001C442B">
        <w:trPr>
          <w:trHeight w:val="681"/>
          <w:tblCellSpacing w:w="15" w:type="dxa"/>
          <w:jc w:val="center"/>
        </w:trPr>
        <w:tc>
          <w:tcPr>
            <w:tcW w:w="1069"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I</w:t>
            </w:r>
          </w:p>
        </w:tc>
        <w:tc>
          <w:tcPr>
            <w:tcW w:w="825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4.258.600 x 10,5% = 447.153</w:t>
            </w:r>
          </w:p>
        </w:tc>
      </w:tr>
      <w:tr w:rsidR="000C0B6C" w:rsidRPr="00F656B5" w:rsidTr="001C442B">
        <w:trPr>
          <w:trHeight w:val="703"/>
          <w:tblCellSpacing w:w="15" w:type="dxa"/>
          <w:jc w:val="center"/>
        </w:trPr>
        <w:tc>
          <w:tcPr>
            <w:tcW w:w="1069"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II</w:t>
            </w:r>
          </w:p>
        </w:tc>
        <w:tc>
          <w:tcPr>
            <w:tcW w:w="825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3.777.100 x 10,5% = 396.595,5</w:t>
            </w:r>
          </w:p>
        </w:tc>
      </w:tr>
      <w:tr w:rsidR="000C0B6C" w:rsidRPr="00F656B5" w:rsidTr="001C442B">
        <w:trPr>
          <w:trHeight w:val="681"/>
          <w:tblCellSpacing w:w="15" w:type="dxa"/>
          <w:jc w:val="center"/>
        </w:trPr>
        <w:tc>
          <w:tcPr>
            <w:tcW w:w="1069"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III</w:t>
            </w:r>
          </w:p>
        </w:tc>
        <w:tc>
          <w:tcPr>
            <w:tcW w:w="825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3.306.300 x 10,5% = 347.161,5</w:t>
            </w:r>
          </w:p>
        </w:tc>
      </w:tr>
      <w:tr w:rsidR="000C0B6C" w:rsidRPr="00F656B5" w:rsidTr="001C442B">
        <w:trPr>
          <w:trHeight w:val="703"/>
          <w:tblCellSpacing w:w="15" w:type="dxa"/>
          <w:jc w:val="center"/>
        </w:trPr>
        <w:tc>
          <w:tcPr>
            <w:tcW w:w="1069"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IV</w:t>
            </w:r>
          </w:p>
        </w:tc>
        <w:tc>
          <w:tcPr>
            <w:tcW w:w="8254" w:type="dxa"/>
            <w:tcBorders>
              <w:top w:val="single" w:sz="4" w:space="0" w:color="auto"/>
              <w:left w:val="single" w:sz="4" w:space="0" w:color="auto"/>
              <w:bottom w:val="single" w:sz="4" w:space="0" w:color="auto"/>
              <w:right w:val="single" w:sz="4" w:space="0" w:color="auto"/>
            </w:tcBorders>
            <w:vAlign w:val="center"/>
          </w:tcPr>
          <w:p w:rsidR="000C0B6C" w:rsidRPr="00F656B5" w:rsidRDefault="000C0B6C" w:rsidP="001C442B">
            <w:pPr>
              <w:pStyle w:val="NormalWeb"/>
              <w:spacing w:before="0" w:beforeAutospacing="0" w:after="0" w:afterAutospacing="0" w:line="360" w:lineRule="auto"/>
              <w:rPr>
                <w:sz w:val="28"/>
                <w:szCs w:val="28"/>
              </w:rPr>
            </w:pPr>
            <w:r w:rsidRPr="00F656B5">
              <w:rPr>
                <w:sz w:val="28"/>
                <w:szCs w:val="28"/>
              </w:rPr>
              <w:t>2.953.200 x 10,5% = 310.086</w:t>
            </w:r>
          </w:p>
        </w:tc>
      </w:tr>
    </w:tbl>
    <w:p w:rsidR="000C0B6C" w:rsidRPr="00F656B5" w:rsidRDefault="000C0B6C" w:rsidP="000C0B6C">
      <w:pPr>
        <w:spacing w:line="360" w:lineRule="auto"/>
        <w:rPr>
          <w:rFonts w:ascii="Times New Roman" w:hAnsi="Times New Roman"/>
          <w:sz w:val="28"/>
          <w:szCs w:val="28"/>
        </w:rPr>
      </w:pPr>
    </w:p>
    <w:p w:rsidR="000C0B6C" w:rsidRPr="00F656B5" w:rsidRDefault="000C0B6C" w:rsidP="000C0B6C">
      <w:pPr>
        <w:rPr>
          <w:rFonts w:ascii="Times New Roman" w:hAnsi="Times New Roman"/>
          <w:sz w:val="28"/>
          <w:szCs w:val="28"/>
        </w:rPr>
      </w:pPr>
    </w:p>
    <w:p w:rsidR="00FF7049" w:rsidRPr="0080500B" w:rsidRDefault="009A5DC8">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C8" w:rsidRDefault="009A5DC8" w:rsidP="0080500B">
      <w:r>
        <w:separator/>
      </w:r>
    </w:p>
  </w:endnote>
  <w:endnote w:type="continuationSeparator" w:id="0">
    <w:p w:rsidR="009A5DC8" w:rsidRDefault="009A5DC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C8" w:rsidRDefault="009A5DC8" w:rsidP="0080500B">
      <w:r>
        <w:separator/>
      </w:r>
    </w:p>
  </w:footnote>
  <w:footnote w:type="continuationSeparator" w:id="0">
    <w:p w:rsidR="009A5DC8" w:rsidRDefault="009A5DC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A5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A5DC8"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A5D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08C9C"/>
    <w:multiLevelType w:val="multilevel"/>
    <w:tmpl w:val="5A308C9C"/>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A308CA7"/>
    <w:multiLevelType w:val="multilevel"/>
    <w:tmpl w:val="5A308CA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5A308CB2"/>
    <w:multiLevelType w:val="multilevel"/>
    <w:tmpl w:val="5A308CB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5A308CBD"/>
    <w:multiLevelType w:val="multilevel"/>
    <w:tmpl w:val="5A308CBD"/>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B6C"/>
    <w:rsid w:val="000C0B6C"/>
    <w:rsid w:val="00570ED1"/>
    <w:rsid w:val="0080500B"/>
    <w:rsid w:val="009155A7"/>
    <w:rsid w:val="009A5DC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40D25F0-BB35-4CA9-9566-016BC947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B6C"/>
    <w:pPr>
      <w:spacing w:after="0" w:line="240" w:lineRule="auto"/>
    </w:pPr>
    <w:rPr>
      <w:rFonts w:ascii="Calibri" w:eastAsia="SimSun" w:hAnsi="Calibri" w:cs="Times New Roman"/>
      <w:sz w:val="20"/>
      <w:szCs w:val="20"/>
      <w:lang w:eastAsia="zh-CN"/>
    </w:rPr>
  </w:style>
  <w:style w:type="paragraph" w:styleId="Heading2">
    <w:name w:val="heading 2"/>
    <w:next w:val="Normal"/>
    <w:link w:val="Heading2Char"/>
    <w:qFormat/>
    <w:rsid w:val="000C0B6C"/>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paragraph" w:styleId="Heading3">
    <w:name w:val="heading 3"/>
    <w:next w:val="Normal"/>
    <w:link w:val="Heading3Char"/>
    <w:qFormat/>
    <w:rsid w:val="000C0B6C"/>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rsid w:val="000C0B6C"/>
    <w:rPr>
      <w:rFonts w:ascii="SimSun" w:eastAsia="SimSun" w:hAnsi="SimSun" w:cs="Times New Roman"/>
      <w:b/>
      <w:bCs/>
      <w:sz w:val="36"/>
      <w:szCs w:val="36"/>
      <w:lang w:eastAsia="zh-CN"/>
    </w:rPr>
  </w:style>
  <w:style w:type="character" w:customStyle="1" w:styleId="Heading3Char">
    <w:name w:val="Heading 3 Char"/>
    <w:basedOn w:val="DefaultParagraphFont"/>
    <w:link w:val="Heading3"/>
    <w:rsid w:val="000C0B6C"/>
    <w:rPr>
      <w:rFonts w:ascii="SimSun" w:eastAsia="SimSun" w:hAnsi="SimSun" w:cs="Times New Roman"/>
      <w:b/>
      <w:bCs/>
      <w:sz w:val="27"/>
      <w:szCs w:val="27"/>
      <w:lang w:eastAsia="zh-CN"/>
    </w:rPr>
  </w:style>
  <w:style w:type="character" w:styleId="Emphasis">
    <w:name w:val="Emphasis"/>
    <w:basedOn w:val="DefaultParagraphFont"/>
    <w:qFormat/>
    <w:rsid w:val="000C0B6C"/>
    <w:rPr>
      <w:i/>
      <w:iCs/>
    </w:rPr>
  </w:style>
  <w:style w:type="character" w:styleId="Strong">
    <w:name w:val="Strong"/>
    <w:basedOn w:val="DefaultParagraphFont"/>
    <w:qFormat/>
    <w:rsid w:val="000C0B6C"/>
    <w:rPr>
      <w:b/>
      <w:bCs/>
    </w:rPr>
  </w:style>
  <w:style w:type="paragraph" w:styleId="NormalWeb">
    <w:name w:val="Normal (Web)"/>
    <w:rsid w:val="000C0B6C"/>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2020-05-15T06:53:00Z</dcterms:created>
  <dcterms:modified xsi:type="dcterms:W3CDTF">2020-05-15T06:53:00Z</dcterms:modified>
</cp:coreProperties>
</file>