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3A4C" w14:textId="372B4D2B" w:rsidR="00E95619" w:rsidRPr="00D8697C" w:rsidRDefault="00D537C6" w:rsidP="00D8697C">
      <w:pPr>
        <w:spacing w:beforeLines="20" w:before="48" w:afterLines="20" w:after="48" w:line="360" w:lineRule="auto"/>
        <w:jc w:val="center"/>
        <w:rPr>
          <w:rFonts w:ascii="Times New Roman" w:hAnsi="Times New Roman" w:cs="Times New Roman"/>
          <w:b/>
          <w:bCs/>
          <w:color w:val="FF0000"/>
          <w:sz w:val="28"/>
          <w:szCs w:val="28"/>
        </w:rPr>
      </w:pPr>
      <w:r w:rsidRPr="00D8697C">
        <w:rPr>
          <w:rFonts w:ascii="Times New Roman" w:hAnsi="Times New Roman" w:cs="Times New Roman"/>
          <w:b/>
          <w:bCs/>
          <w:color w:val="FF0000"/>
          <w:sz w:val="28"/>
          <w:szCs w:val="28"/>
        </w:rPr>
        <w:t>Mức nộp</w:t>
      </w:r>
      <w:r w:rsidR="009F71B0">
        <w:rPr>
          <w:rFonts w:ascii="Times New Roman" w:hAnsi="Times New Roman" w:cs="Times New Roman"/>
          <w:b/>
          <w:bCs/>
          <w:color w:val="FF0000"/>
          <w:sz w:val="28"/>
          <w:szCs w:val="28"/>
        </w:rPr>
        <w:t xml:space="preserve"> và cách nộp lệ phí sang tên </w:t>
      </w:r>
      <w:r w:rsidR="00B30B9C">
        <w:rPr>
          <w:rFonts w:ascii="Times New Roman" w:hAnsi="Times New Roman" w:cs="Times New Roman"/>
          <w:b/>
          <w:bCs/>
          <w:color w:val="FF0000"/>
          <w:sz w:val="28"/>
          <w:szCs w:val="28"/>
        </w:rPr>
        <w:t>s</w:t>
      </w:r>
      <w:r w:rsidR="009F71B0">
        <w:rPr>
          <w:rFonts w:ascii="Times New Roman" w:hAnsi="Times New Roman" w:cs="Times New Roman"/>
          <w:b/>
          <w:bCs/>
          <w:color w:val="FF0000"/>
          <w:sz w:val="28"/>
          <w:szCs w:val="28"/>
        </w:rPr>
        <w:t>ổ đỏ 2025</w:t>
      </w:r>
    </w:p>
    <w:p w14:paraId="49D862DE" w14:textId="5906B1F7" w:rsidR="00D537C6" w:rsidRDefault="009F71B0" w:rsidP="00D8697C">
      <w:pPr>
        <w:spacing w:beforeLines="20" w:before="48" w:afterLines="20" w:after="48" w:line="360" w:lineRule="auto"/>
        <w:jc w:val="both"/>
        <w:rPr>
          <w:rFonts w:ascii="Times New Roman" w:hAnsi="Times New Roman" w:cs="Times New Roman"/>
          <w:i/>
          <w:iCs/>
          <w:sz w:val="28"/>
          <w:szCs w:val="28"/>
        </w:rPr>
      </w:pPr>
      <w:r w:rsidRPr="009F71B0">
        <w:rPr>
          <w:rFonts w:ascii="Times New Roman" w:hAnsi="Times New Roman" w:cs="Times New Roman"/>
          <w:i/>
          <w:iCs/>
          <w:sz w:val="28"/>
          <w:szCs w:val="28"/>
        </w:rPr>
        <w:t>Sang tên sổ đỏ là cách thường gọi thông thường của người dân về thủ tục đăng ký biến động khi chuyển nhượng, tặng cho, thừa kế quyền sử dụng đất, quyền sử dụng đất và tài sản khác gắn liền với đất...</w:t>
      </w:r>
      <w:r>
        <w:rPr>
          <w:rFonts w:ascii="Times New Roman" w:hAnsi="Times New Roman" w:cs="Times New Roman"/>
          <w:i/>
          <w:iCs/>
          <w:sz w:val="28"/>
          <w:szCs w:val="28"/>
        </w:rPr>
        <w:t xml:space="preserve"> </w:t>
      </w:r>
      <w:r w:rsidR="00D537C6" w:rsidRPr="00D8697C">
        <w:rPr>
          <w:rFonts w:ascii="Times New Roman" w:hAnsi="Times New Roman" w:cs="Times New Roman"/>
          <w:i/>
          <w:iCs/>
          <w:sz w:val="28"/>
          <w:szCs w:val="28"/>
        </w:rPr>
        <w:t>Hãy cùng VietJack tìm hiểu chi tiết trong bài viết dưới đây</w:t>
      </w:r>
      <w:r>
        <w:rPr>
          <w:rFonts w:ascii="Times New Roman" w:hAnsi="Times New Roman" w:cs="Times New Roman"/>
          <w:i/>
          <w:iCs/>
          <w:sz w:val="28"/>
          <w:szCs w:val="28"/>
        </w:rPr>
        <w:t xml:space="preserve"> về mức nộp và cách nộp lệ phí sang tên Sổ đỏ 2025</w:t>
      </w:r>
      <w:r w:rsidR="00D537C6" w:rsidRPr="00D8697C">
        <w:rPr>
          <w:rFonts w:ascii="Times New Roman" w:hAnsi="Times New Roman" w:cs="Times New Roman"/>
          <w:i/>
          <w:iCs/>
          <w:sz w:val="28"/>
          <w:szCs w:val="28"/>
        </w:rPr>
        <w:t>.</w:t>
      </w:r>
    </w:p>
    <w:p w14:paraId="2D6CEBEF" w14:textId="77777777" w:rsidR="009F71B0" w:rsidRPr="00D8697C" w:rsidRDefault="009F71B0" w:rsidP="009F71B0">
      <w:pPr>
        <w:spacing w:beforeLines="20" w:before="48" w:afterLines="20" w:after="48" w:line="360" w:lineRule="auto"/>
        <w:jc w:val="center"/>
        <w:rPr>
          <w:rFonts w:ascii="Times New Roman" w:eastAsia="Times New Roman" w:hAnsi="Times New Roman" w:cs="Times New Roman"/>
          <w:sz w:val="28"/>
          <w:szCs w:val="28"/>
        </w:rPr>
      </w:pPr>
      <w:r w:rsidRPr="00D8697C">
        <w:rPr>
          <w:rFonts w:ascii="Times New Roman" w:hAnsi="Times New Roman" w:cs="Times New Roman"/>
          <w:noProof/>
          <w:sz w:val="28"/>
          <w:szCs w:val="28"/>
        </w:rPr>
        <w:drawing>
          <wp:inline distT="0" distB="0" distL="0" distR="0" wp14:anchorId="1B1F9272" wp14:editId="2541DC1C">
            <wp:extent cx="5943600" cy="3348990"/>
            <wp:effectExtent l="0" t="0" r="0" b="3810"/>
            <wp:docPr id="1652512406" name="Picture 1652512406" descr="Lệ phí trước bạ sang tên sổ đỏ: Khoản chi bắt buộc người mua nhà cần nắm r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ệ phí trước bạ sang tên sổ đỏ: Khoản chi bắt buộc người mua nhà cần nắm r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p>
    <w:p w14:paraId="69F0A54E" w14:textId="4950E5D7" w:rsidR="009F71B0" w:rsidRPr="009F71B0" w:rsidRDefault="009F71B0" w:rsidP="009F71B0">
      <w:pPr>
        <w:spacing w:beforeLines="20" w:before="48" w:afterLines="20" w:after="48" w:line="360" w:lineRule="auto"/>
        <w:jc w:val="center"/>
        <w:rPr>
          <w:rFonts w:ascii="Times New Roman" w:eastAsia="Times New Roman" w:hAnsi="Times New Roman" w:cs="Times New Roman"/>
          <w:i/>
          <w:iCs/>
          <w:sz w:val="28"/>
          <w:szCs w:val="28"/>
          <w:lang w:val="en-SG"/>
        </w:rPr>
      </w:pPr>
      <w:r w:rsidRPr="009F71B0">
        <w:rPr>
          <w:rFonts w:ascii="Times New Roman" w:eastAsia="Times New Roman" w:hAnsi="Times New Roman" w:cs="Times New Roman"/>
          <w:i/>
          <w:iCs/>
          <w:sz w:val="28"/>
          <w:szCs w:val="28"/>
        </w:rPr>
        <w:t>Mức nộp và cách nộp lệ phí sang tên Sổ đỏ 2025</w:t>
      </w:r>
      <w:r>
        <w:rPr>
          <w:rFonts w:ascii="Times New Roman" w:eastAsia="Times New Roman" w:hAnsi="Times New Roman" w:cs="Times New Roman"/>
          <w:i/>
          <w:iCs/>
          <w:sz w:val="28"/>
          <w:szCs w:val="28"/>
        </w:rPr>
        <w:t xml:space="preserve">. </w:t>
      </w:r>
      <w:r w:rsidRPr="00D8697C">
        <w:rPr>
          <w:rFonts w:ascii="Times New Roman" w:eastAsia="Times New Roman" w:hAnsi="Times New Roman" w:cs="Times New Roman"/>
          <w:i/>
          <w:iCs/>
          <w:sz w:val="28"/>
          <w:szCs w:val="28"/>
          <w:lang w:val="vi-VN"/>
        </w:rPr>
        <w:t>Nguồn ảnh: Internet</w:t>
      </w:r>
    </w:p>
    <w:p w14:paraId="794506CF" w14:textId="332A38C7" w:rsidR="00D537C6" w:rsidRPr="00D537C6" w:rsidRDefault="00D537C6" w:rsidP="00D8697C">
      <w:pPr>
        <w:spacing w:beforeLines="20" w:before="48" w:afterLines="20" w:after="48" w:line="360" w:lineRule="auto"/>
        <w:jc w:val="both"/>
        <w:outlineLvl w:val="1"/>
        <w:rPr>
          <w:rFonts w:ascii="Times New Roman" w:eastAsia="Times New Roman" w:hAnsi="Times New Roman" w:cs="Times New Roman"/>
          <w:b/>
          <w:bCs/>
          <w:sz w:val="28"/>
          <w:szCs w:val="28"/>
        </w:rPr>
      </w:pPr>
      <w:r w:rsidRPr="00D537C6">
        <w:rPr>
          <w:rFonts w:ascii="Times New Roman" w:eastAsia="Times New Roman" w:hAnsi="Times New Roman" w:cs="Times New Roman"/>
          <w:b/>
          <w:bCs/>
          <w:sz w:val="28"/>
          <w:szCs w:val="28"/>
        </w:rPr>
        <w:t>1. Những loại phí, lệ phí phải nộp khi sang tên</w:t>
      </w:r>
      <w:r w:rsidR="00B30B9C">
        <w:rPr>
          <w:rFonts w:ascii="Times New Roman" w:eastAsia="Times New Roman" w:hAnsi="Times New Roman" w:cs="Times New Roman"/>
          <w:b/>
          <w:bCs/>
          <w:sz w:val="28"/>
          <w:szCs w:val="28"/>
        </w:rPr>
        <w:t xml:space="preserve"> sổ đỏ </w:t>
      </w:r>
    </w:p>
    <w:p w14:paraId="25A67423" w14:textId="1A10994B" w:rsidR="00D537C6" w:rsidRPr="00D537C6" w:rsidRDefault="00B30B9C" w:rsidP="00D8697C">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1.1.</w:t>
      </w:r>
      <w:r w:rsidR="00D537C6" w:rsidRPr="00D537C6">
        <w:rPr>
          <w:rFonts w:ascii="Times New Roman" w:eastAsia="Times New Roman" w:hAnsi="Times New Roman" w:cs="Times New Roman"/>
          <w:b/>
          <w:bCs/>
          <w:sz w:val="28"/>
          <w:szCs w:val="28"/>
        </w:rPr>
        <w:t xml:space="preserve"> Lệ phí trước bạ</w:t>
      </w:r>
    </w:p>
    <w:p w14:paraId="70D04529" w14:textId="77777777" w:rsidR="00B30B9C" w:rsidRDefault="00B30B9C" w:rsidP="00D8697C">
      <w:pPr>
        <w:spacing w:beforeLines="20" w:before="48" w:afterLines="20" w:after="48" w:line="360" w:lineRule="auto"/>
        <w:jc w:val="both"/>
        <w:rPr>
          <w:rFonts w:ascii="Times New Roman" w:eastAsia="Times New Roman" w:hAnsi="Times New Roman" w:cs="Times New Roman"/>
          <w:sz w:val="28"/>
          <w:szCs w:val="28"/>
        </w:rPr>
      </w:pPr>
      <w:r w:rsidRPr="00B30B9C">
        <w:rPr>
          <w:rFonts w:ascii="Times New Roman" w:eastAsia="Times New Roman" w:hAnsi="Times New Roman" w:cs="Times New Roman"/>
          <w:sz w:val="28"/>
          <w:szCs w:val="28"/>
        </w:rPr>
        <w:t>Căn cứ Điều 3 Nghị định 10/2022/NĐ-CPquy định tổ chức, cá nhân khi đăng ký quyền sở hữu nhà ở, quyền sử dụng đất phải nộp lệ phí trước bạ. Nghị định quy định mức thu lệ phí trước bạ đối với nhà đất hiện nay là 0,5%.</w:t>
      </w:r>
    </w:p>
    <w:p w14:paraId="1DD69990" w14:textId="4ED57E16" w:rsidR="00D537C6" w:rsidRPr="00D537C6" w:rsidRDefault="00B30B9C" w:rsidP="00D8697C">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1.2.</w:t>
      </w:r>
      <w:r w:rsidR="00D537C6" w:rsidRPr="00D537C6">
        <w:rPr>
          <w:rFonts w:ascii="Times New Roman" w:eastAsia="Times New Roman" w:hAnsi="Times New Roman" w:cs="Times New Roman"/>
          <w:b/>
          <w:bCs/>
          <w:sz w:val="28"/>
          <w:szCs w:val="28"/>
        </w:rPr>
        <w:t xml:space="preserve"> Phí thẩm định hồ sơ</w:t>
      </w:r>
    </w:p>
    <w:p w14:paraId="57F6CA51"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Khoản 5 Điều 3 Thông tư 85/2019/TT-BTC quy định phí thẩm định hồ sơ khi sang tên nhà đất thuộc thẩm quyền của HĐND cấp tỉnh (tỉnh, thành phố trực thuộc trung ương) nên mức thu giữa các tỉnh, thành sẽ khác nhau.</w:t>
      </w:r>
    </w:p>
    <w:p w14:paraId="31BC7718"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lastRenderedPageBreak/>
        <w:t>Mức thu sẽ dao động từ 500.000 đồng đến 5.000.000 đồng (thông thường từ 500.000 đồng đến 2.000.000 đồng)</w:t>
      </w:r>
    </w:p>
    <w:p w14:paraId="6DAB5161" w14:textId="5B2F26A4" w:rsidR="00D537C6" w:rsidRPr="00D537C6" w:rsidRDefault="00B30B9C" w:rsidP="00D8697C">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1.3. Lệ phí cấp sổ đỏ </w:t>
      </w:r>
    </w:p>
    <w:p w14:paraId="27572CB1" w14:textId="77777777" w:rsidR="00B30B9C" w:rsidRPr="00B30B9C" w:rsidRDefault="00B30B9C" w:rsidP="00B30B9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Khi thực hiện thủ tục sang tên nhà đất, nếu người nhận chuyển nhượng hoặc nhận tặng cho yêu cầu và được cấp Giấy chứng nhận quyền sử dụng đất, quyền sở hữu nhà ở, tài sản gắn liền với đất mới, họ sẽ phải nộp một khoản lệ phí cấp Giấy chứng nhận quyền sử dụng đất.</w:t>
      </w:r>
    </w:p>
    <w:p w14:paraId="565A56E5" w14:textId="77777777" w:rsidR="00B30B9C" w:rsidRPr="00B30B9C" w:rsidRDefault="00B30B9C" w:rsidP="00B30B9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Lệ phí này bao gồm các trường hợp như: Cấp Giấy chứng nhận quyền sử dụng đất, quyền sở hữu nhà, tài sản gắn liền với đất; chứng nhận đăng ký biến động về đất đai; trích lục bản đồ địa chính; cấp các văn bản và số liệu liên quan đến hồ sơ địa chính.</w:t>
      </w:r>
    </w:p>
    <w:p w14:paraId="62C46BCD" w14:textId="77777777" w:rsidR="00B30B9C" w:rsidRDefault="00B30B9C" w:rsidP="00B30B9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Mức thu lệ phí này sẽ được quy định căn cứ vào tình hình cụ thể của từng địa phương, cũng như các chính sách phát triển kinh tế - xã hội của địa phương đó. Thông thường, mức thu lệ phí sẽ có sự chênh lệch giữa các khu vực, với mức thu tại các quận thuộc thành phố trực thuộc Trung ương, phường nội thành hoặc thị xã trực thuộc tỉnh cao hơn các khu vực còn lại. Bên cạnh đó, mức thu lệ phí đối với tổ chức cũng sẽ cao hơn so với hộ gia đình và cá nhân.</w:t>
      </w:r>
    </w:p>
    <w:p w14:paraId="43F0C8FC" w14:textId="39ACB842" w:rsidR="00B30B9C" w:rsidRPr="00B30B9C" w:rsidRDefault="00B30B9C" w:rsidP="00B30B9C">
      <w:pPr>
        <w:spacing w:beforeLines="20" w:before="48" w:afterLines="20" w:after="48" w:line="360" w:lineRule="auto"/>
        <w:jc w:val="both"/>
        <w:outlineLvl w:val="1"/>
        <w:rPr>
          <w:rFonts w:ascii="Times New Roman" w:eastAsia="Times New Roman" w:hAnsi="Times New Roman" w:cs="Times New Roman"/>
          <w:b/>
          <w:bCs/>
          <w:sz w:val="28"/>
          <w:szCs w:val="28"/>
          <w:lang w:val="en-SG"/>
        </w:rPr>
      </w:pPr>
      <w:r w:rsidRPr="00B30B9C">
        <w:rPr>
          <w:rFonts w:ascii="Times New Roman" w:eastAsia="Times New Roman" w:hAnsi="Times New Roman" w:cs="Times New Roman"/>
          <w:b/>
          <w:bCs/>
          <w:sz w:val="28"/>
          <w:szCs w:val="28"/>
          <w:lang w:val="en-SG"/>
        </w:rPr>
        <w:t xml:space="preserve">1.4. Phí công chứng, chức thực </w:t>
      </w:r>
    </w:p>
    <w:p w14:paraId="670283D2" w14:textId="143BA962" w:rsidR="00B30B9C" w:rsidRDefault="00B30B9C" w:rsidP="00B30B9C">
      <w:pPr>
        <w:spacing w:beforeLines="20" w:before="48" w:afterLines="20" w:after="48" w:line="360" w:lineRule="auto"/>
        <w:jc w:val="both"/>
        <w:outlineLvl w:val="1"/>
        <w:rPr>
          <w:rFonts w:ascii="Times New Roman" w:eastAsia="Times New Roman" w:hAnsi="Times New Roman" w:cs="Times New Roman"/>
          <w:sz w:val="28"/>
          <w:szCs w:val="28"/>
        </w:rPr>
      </w:pPr>
      <w:r w:rsidRPr="00B30B9C">
        <w:rPr>
          <w:rFonts w:ascii="Times New Roman" w:eastAsia="Times New Roman" w:hAnsi="Times New Roman" w:cs="Times New Roman"/>
          <w:sz w:val="28"/>
          <w:szCs w:val="28"/>
        </w:rPr>
        <w:t>Theo Khoản 2 Điều 4 Thông tư 257/2016/TT-BTC quy định mức thu phí công chứng hợp đồng được xác định như sau:</w:t>
      </w:r>
    </w:p>
    <w:tbl>
      <w:tblPr>
        <w:tblStyle w:val="TableGrid"/>
        <w:tblW w:w="0" w:type="auto"/>
        <w:tblLook w:val="04A0" w:firstRow="1" w:lastRow="0" w:firstColumn="1" w:lastColumn="0" w:noHBand="0" w:noVBand="1"/>
      </w:tblPr>
      <w:tblGrid>
        <w:gridCol w:w="4531"/>
        <w:gridCol w:w="5431"/>
      </w:tblGrid>
      <w:tr w:rsidR="00B30B9C" w14:paraId="574FB3EF" w14:textId="77777777" w:rsidTr="00B30B9C">
        <w:tc>
          <w:tcPr>
            <w:tcW w:w="4531" w:type="dxa"/>
          </w:tcPr>
          <w:p w14:paraId="32C5D14A" w14:textId="361EDB09" w:rsidR="00B30B9C" w:rsidRPr="00B30B9C" w:rsidRDefault="00B30B9C" w:rsidP="00B30B9C">
            <w:pPr>
              <w:spacing w:beforeLines="20" w:before="48" w:afterLines="20" w:after="48" w:line="360" w:lineRule="auto"/>
              <w:jc w:val="center"/>
              <w:outlineLvl w:val="1"/>
              <w:rPr>
                <w:rFonts w:ascii="Times New Roman" w:eastAsia="Times New Roman" w:hAnsi="Times New Roman" w:cs="Times New Roman"/>
                <w:b/>
                <w:bCs/>
                <w:sz w:val="28"/>
                <w:szCs w:val="28"/>
                <w:lang w:val="en-SG"/>
              </w:rPr>
            </w:pPr>
            <w:r w:rsidRPr="00B30B9C">
              <w:rPr>
                <w:rFonts w:ascii="Times New Roman" w:eastAsia="Times New Roman" w:hAnsi="Times New Roman" w:cs="Times New Roman"/>
                <w:b/>
                <w:bCs/>
                <w:sz w:val="28"/>
                <w:szCs w:val="28"/>
              </w:rPr>
              <w:t>Giá trị tài sản hoặc giá trị hợp đồng</w:t>
            </w:r>
          </w:p>
        </w:tc>
        <w:tc>
          <w:tcPr>
            <w:tcW w:w="5431" w:type="dxa"/>
          </w:tcPr>
          <w:p w14:paraId="69FAD87A" w14:textId="6E2576FC" w:rsidR="00B30B9C" w:rsidRPr="00B30B9C" w:rsidRDefault="00B30B9C" w:rsidP="00B30B9C">
            <w:pPr>
              <w:spacing w:beforeLines="20" w:before="48" w:afterLines="20" w:after="48" w:line="360" w:lineRule="auto"/>
              <w:jc w:val="center"/>
              <w:outlineLvl w:val="1"/>
              <w:rPr>
                <w:rFonts w:ascii="Times New Roman" w:eastAsia="Times New Roman" w:hAnsi="Times New Roman" w:cs="Times New Roman"/>
                <w:b/>
                <w:bCs/>
                <w:sz w:val="28"/>
                <w:szCs w:val="28"/>
                <w:lang w:val="en-SG"/>
              </w:rPr>
            </w:pPr>
            <w:r w:rsidRPr="00B30B9C">
              <w:rPr>
                <w:rFonts w:ascii="Times New Roman" w:eastAsia="Times New Roman" w:hAnsi="Times New Roman" w:cs="Times New Roman"/>
                <w:b/>
                <w:bCs/>
                <w:sz w:val="28"/>
                <w:szCs w:val="28"/>
                <w:lang w:val="en-SG"/>
              </w:rPr>
              <w:t>Mức phí/1 trường hợp</w:t>
            </w:r>
          </w:p>
        </w:tc>
      </w:tr>
      <w:tr w:rsidR="00B30B9C" w14:paraId="25820C28" w14:textId="77777777" w:rsidTr="00B30B9C">
        <w:tc>
          <w:tcPr>
            <w:tcW w:w="4531" w:type="dxa"/>
          </w:tcPr>
          <w:p w14:paraId="27B6BC15" w14:textId="2F83BACE" w:rsidR="00B30B9C" w:rsidRDefault="00B30B9C" w:rsidP="002D473E">
            <w:pPr>
              <w:spacing w:beforeLines="20" w:before="48" w:afterLines="20" w:after="48" w:line="360" w:lineRule="auto"/>
              <w:jc w:val="center"/>
              <w:outlineLvl w:val="1"/>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Dưới 50 triệu đồng</w:t>
            </w:r>
          </w:p>
        </w:tc>
        <w:tc>
          <w:tcPr>
            <w:tcW w:w="5431" w:type="dxa"/>
          </w:tcPr>
          <w:p w14:paraId="285A2675" w14:textId="5F7E42E8" w:rsidR="00B30B9C" w:rsidRDefault="002D473E" w:rsidP="002D473E">
            <w:pPr>
              <w:spacing w:beforeLines="20" w:before="48" w:afterLines="20" w:after="48" w:line="360" w:lineRule="auto"/>
              <w:jc w:val="center"/>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lang w:val="en-SG"/>
              </w:rPr>
              <w:t>50.000 đồng</w:t>
            </w:r>
          </w:p>
        </w:tc>
      </w:tr>
      <w:tr w:rsidR="00B30B9C" w14:paraId="07099B63" w14:textId="77777777" w:rsidTr="00B30B9C">
        <w:tc>
          <w:tcPr>
            <w:tcW w:w="4531" w:type="dxa"/>
          </w:tcPr>
          <w:p w14:paraId="0919101C" w14:textId="453A56B9" w:rsidR="00B30B9C" w:rsidRDefault="00B30B9C" w:rsidP="002D473E">
            <w:pPr>
              <w:spacing w:beforeLines="20" w:before="48" w:afterLines="20" w:after="48" w:line="360" w:lineRule="auto"/>
              <w:jc w:val="center"/>
              <w:outlineLvl w:val="1"/>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rPr>
              <w:t>Từ 50-100 triệu đồng</w:t>
            </w:r>
          </w:p>
        </w:tc>
        <w:tc>
          <w:tcPr>
            <w:tcW w:w="5431" w:type="dxa"/>
          </w:tcPr>
          <w:p w14:paraId="218BB0C8" w14:textId="6D2D8249" w:rsidR="00B30B9C" w:rsidRDefault="002D473E" w:rsidP="002D473E">
            <w:pPr>
              <w:spacing w:beforeLines="20" w:before="48" w:afterLines="20" w:after="48" w:line="360" w:lineRule="auto"/>
              <w:jc w:val="center"/>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lang w:val="en-SG"/>
              </w:rPr>
              <w:t>100.000 đồng</w:t>
            </w:r>
          </w:p>
        </w:tc>
      </w:tr>
      <w:tr w:rsidR="00B30B9C" w14:paraId="2262B63D" w14:textId="77777777" w:rsidTr="00B30B9C">
        <w:tc>
          <w:tcPr>
            <w:tcW w:w="4531" w:type="dxa"/>
          </w:tcPr>
          <w:p w14:paraId="169AD752" w14:textId="6D7403AF" w:rsidR="00B30B9C" w:rsidRDefault="002D473E" w:rsidP="002D473E">
            <w:pPr>
              <w:spacing w:beforeLines="20" w:before="48" w:afterLines="20" w:after="48" w:line="360" w:lineRule="auto"/>
              <w:jc w:val="center"/>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rPr>
              <w:t>Từ 100-1 tỷ đồng</w:t>
            </w:r>
          </w:p>
        </w:tc>
        <w:tc>
          <w:tcPr>
            <w:tcW w:w="5431" w:type="dxa"/>
          </w:tcPr>
          <w:p w14:paraId="4D431AA9" w14:textId="76559C2E" w:rsidR="00B30B9C" w:rsidRDefault="002D473E" w:rsidP="002D473E">
            <w:pPr>
              <w:spacing w:beforeLines="20" w:before="48" w:afterLines="20" w:after="48" w:line="360" w:lineRule="auto"/>
              <w:jc w:val="center"/>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lang w:val="en-SG"/>
              </w:rPr>
              <w:t>0,1% GTHĐ hoặc giá trị tài sản</w:t>
            </w:r>
          </w:p>
        </w:tc>
      </w:tr>
      <w:tr w:rsidR="00B30B9C" w14:paraId="11796606" w14:textId="77777777" w:rsidTr="00B30B9C">
        <w:tc>
          <w:tcPr>
            <w:tcW w:w="4531" w:type="dxa"/>
          </w:tcPr>
          <w:p w14:paraId="3FF60AC4" w14:textId="61B50128" w:rsidR="00B30B9C" w:rsidRDefault="002D473E" w:rsidP="002D473E">
            <w:pPr>
              <w:spacing w:beforeLines="20" w:before="48" w:afterLines="20" w:after="48" w:line="360" w:lineRule="auto"/>
              <w:jc w:val="center"/>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rPr>
              <w:t>Từ 1-3 tỷ đồng</w:t>
            </w:r>
          </w:p>
        </w:tc>
        <w:tc>
          <w:tcPr>
            <w:tcW w:w="5431" w:type="dxa"/>
          </w:tcPr>
          <w:p w14:paraId="5D07DB6A" w14:textId="5008223E" w:rsidR="00B30B9C" w:rsidRDefault="002D473E" w:rsidP="00B30B9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rPr>
              <w:t>1 triệu đồng và 0,06% GTHĐ hoặc giá trị tài sản vượt quá 1 tỷ đồng</w:t>
            </w:r>
          </w:p>
        </w:tc>
      </w:tr>
      <w:tr w:rsidR="00B30B9C" w14:paraId="4CE3C499" w14:textId="77777777" w:rsidTr="00B30B9C">
        <w:tc>
          <w:tcPr>
            <w:tcW w:w="4531" w:type="dxa"/>
          </w:tcPr>
          <w:p w14:paraId="794BB8F6" w14:textId="5E73B356" w:rsidR="00B30B9C" w:rsidRDefault="002D473E" w:rsidP="002D473E">
            <w:pPr>
              <w:spacing w:beforeLines="20" w:before="48" w:afterLines="20" w:after="48" w:line="360" w:lineRule="auto"/>
              <w:jc w:val="center"/>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rPr>
              <w:lastRenderedPageBreak/>
              <w:t>Từ 3-5 tỷ đồng</w:t>
            </w:r>
          </w:p>
        </w:tc>
        <w:tc>
          <w:tcPr>
            <w:tcW w:w="5431" w:type="dxa"/>
          </w:tcPr>
          <w:p w14:paraId="6903ABD4" w14:textId="1D27D0C9" w:rsidR="00B30B9C" w:rsidRDefault="002D473E" w:rsidP="00B30B9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rPr>
              <w:t>2,2 triệu đồng và 0,05% GTHĐ hoặc giá trị tài sản vượt quá 3 tỷ đồng</w:t>
            </w:r>
          </w:p>
        </w:tc>
      </w:tr>
      <w:tr w:rsidR="002D473E" w14:paraId="59A27622" w14:textId="77777777" w:rsidTr="00B30B9C">
        <w:tc>
          <w:tcPr>
            <w:tcW w:w="4531" w:type="dxa"/>
          </w:tcPr>
          <w:p w14:paraId="13F2DF34" w14:textId="13B90FB5" w:rsidR="002D473E" w:rsidRPr="002D473E" w:rsidRDefault="002D473E" w:rsidP="002D473E">
            <w:pPr>
              <w:spacing w:beforeLines="20" w:before="48" w:afterLines="20" w:after="48" w:line="360" w:lineRule="auto"/>
              <w:jc w:val="center"/>
              <w:outlineLvl w:val="1"/>
              <w:rPr>
                <w:rFonts w:ascii="Times New Roman" w:eastAsia="Times New Roman" w:hAnsi="Times New Roman" w:cs="Times New Roman"/>
                <w:sz w:val="28"/>
                <w:szCs w:val="28"/>
              </w:rPr>
            </w:pPr>
            <w:r w:rsidRPr="002D473E">
              <w:rPr>
                <w:rFonts w:ascii="Times New Roman" w:eastAsia="Times New Roman" w:hAnsi="Times New Roman" w:cs="Times New Roman"/>
                <w:sz w:val="28"/>
                <w:szCs w:val="28"/>
              </w:rPr>
              <w:t>Từ 5-10 tỷ đồng</w:t>
            </w:r>
          </w:p>
        </w:tc>
        <w:tc>
          <w:tcPr>
            <w:tcW w:w="5431" w:type="dxa"/>
          </w:tcPr>
          <w:p w14:paraId="67699C6A" w14:textId="6272C673" w:rsidR="002D473E" w:rsidRDefault="002D473E" w:rsidP="002D473E">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lang w:val="en-SG"/>
              </w:rPr>
              <w:t>3,2 triệu đồng và 0,04% GTHĐ hoặc giá trị tài sản vượt quá 5 tỷ đồng</w:t>
            </w:r>
          </w:p>
        </w:tc>
      </w:tr>
      <w:tr w:rsidR="002D473E" w14:paraId="041372A7" w14:textId="77777777" w:rsidTr="00B30B9C">
        <w:tc>
          <w:tcPr>
            <w:tcW w:w="4531" w:type="dxa"/>
          </w:tcPr>
          <w:p w14:paraId="489AD835" w14:textId="217C8395" w:rsidR="002D473E" w:rsidRPr="002D473E" w:rsidRDefault="002D473E" w:rsidP="002D473E">
            <w:pPr>
              <w:spacing w:beforeLines="20" w:before="48" w:afterLines="20" w:after="48" w:line="360" w:lineRule="auto"/>
              <w:jc w:val="center"/>
              <w:outlineLvl w:val="1"/>
              <w:rPr>
                <w:rFonts w:ascii="Times New Roman" w:eastAsia="Times New Roman" w:hAnsi="Times New Roman" w:cs="Times New Roman"/>
                <w:sz w:val="28"/>
                <w:szCs w:val="28"/>
              </w:rPr>
            </w:pPr>
            <w:r w:rsidRPr="002D473E">
              <w:rPr>
                <w:rFonts w:ascii="Times New Roman" w:eastAsia="Times New Roman" w:hAnsi="Times New Roman" w:cs="Times New Roman"/>
                <w:sz w:val="28"/>
                <w:szCs w:val="28"/>
              </w:rPr>
              <w:t>Từ 10-100 tỷ đồng</w:t>
            </w:r>
          </w:p>
        </w:tc>
        <w:tc>
          <w:tcPr>
            <w:tcW w:w="5431" w:type="dxa"/>
          </w:tcPr>
          <w:p w14:paraId="77654BA2" w14:textId="0C6B7C6D" w:rsidR="002D473E" w:rsidRDefault="002D473E" w:rsidP="002D473E">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lang w:val="en-SG"/>
              </w:rPr>
              <w:t>5,2 triệu đồng và 0,03% GTHĐ hoặc giá trị tài sản vượt quá 10 tỷ đồng</w:t>
            </w:r>
          </w:p>
        </w:tc>
      </w:tr>
      <w:tr w:rsidR="002D473E" w14:paraId="7A9EA581" w14:textId="77777777" w:rsidTr="00B30B9C">
        <w:tc>
          <w:tcPr>
            <w:tcW w:w="4531" w:type="dxa"/>
          </w:tcPr>
          <w:p w14:paraId="79221A40" w14:textId="2496C3CC" w:rsidR="002D473E" w:rsidRPr="002D473E" w:rsidRDefault="002D473E" w:rsidP="002D473E">
            <w:pPr>
              <w:spacing w:beforeLines="20" w:before="48" w:afterLines="20" w:after="48" w:line="360" w:lineRule="auto"/>
              <w:jc w:val="center"/>
              <w:outlineLvl w:val="1"/>
              <w:rPr>
                <w:rFonts w:ascii="Times New Roman" w:eastAsia="Times New Roman" w:hAnsi="Times New Roman" w:cs="Times New Roman"/>
                <w:sz w:val="28"/>
                <w:szCs w:val="28"/>
              </w:rPr>
            </w:pPr>
            <w:r w:rsidRPr="002D473E">
              <w:rPr>
                <w:rFonts w:ascii="Times New Roman" w:eastAsia="Times New Roman" w:hAnsi="Times New Roman" w:cs="Times New Roman"/>
                <w:sz w:val="28"/>
                <w:szCs w:val="28"/>
              </w:rPr>
              <w:t>Trên 100 tỷ đồng</w:t>
            </w:r>
          </w:p>
        </w:tc>
        <w:tc>
          <w:tcPr>
            <w:tcW w:w="5431" w:type="dxa"/>
          </w:tcPr>
          <w:p w14:paraId="2C560230" w14:textId="663912C0" w:rsidR="002D473E" w:rsidRDefault="002D473E" w:rsidP="00B30B9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rPr>
              <w:t>32,2 triệu đồng và 0,02% GTHĐ hoặc giá trị tài sản vượt quá 100 tỷ đồng</w:t>
            </w:r>
          </w:p>
        </w:tc>
      </w:tr>
    </w:tbl>
    <w:p w14:paraId="1D181C79" w14:textId="74E8CF0E" w:rsidR="00B30B9C" w:rsidRDefault="002D473E" w:rsidP="00B30B9C">
      <w:pPr>
        <w:spacing w:beforeLines="20" w:before="48" w:afterLines="20" w:after="48" w:line="360" w:lineRule="auto"/>
        <w:jc w:val="both"/>
        <w:outlineLvl w:val="1"/>
        <w:rPr>
          <w:rFonts w:ascii="Times New Roman" w:eastAsia="Times New Roman" w:hAnsi="Times New Roman" w:cs="Times New Roman"/>
          <w:i/>
          <w:iCs/>
          <w:sz w:val="28"/>
          <w:szCs w:val="28"/>
        </w:rPr>
      </w:pPr>
      <w:r w:rsidRPr="002D473E">
        <w:rPr>
          <w:rFonts w:ascii="Times New Roman" w:eastAsia="Times New Roman" w:hAnsi="Times New Roman" w:cs="Times New Roman"/>
          <w:i/>
          <w:iCs/>
          <w:sz w:val="28"/>
          <w:szCs w:val="28"/>
        </w:rPr>
        <w:t>Chú thích: GTHĐ là giá trị hợp đồng.</w:t>
      </w:r>
    </w:p>
    <w:p w14:paraId="3ED20155" w14:textId="70B92A61" w:rsidR="002D473E" w:rsidRPr="002D473E" w:rsidRDefault="002D473E" w:rsidP="00B30B9C">
      <w:pPr>
        <w:spacing w:beforeLines="20" w:before="48" w:afterLines="20" w:after="48" w:line="360" w:lineRule="auto"/>
        <w:jc w:val="both"/>
        <w:outlineLvl w:val="1"/>
        <w:rPr>
          <w:rFonts w:ascii="Times New Roman" w:eastAsia="Times New Roman" w:hAnsi="Times New Roman" w:cs="Times New Roman"/>
          <w:b/>
          <w:bCs/>
          <w:sz w:val="28"/>
          <w:szCs w:val="28"/>
        </w:rPr>
      </w:pPr>
      <w:r w:rsidRPr="002D473E">
        <w:rPr>
          <w:rFonts w:ascii="Times New Roman" w:eastAsia="Times New Roman" w:hAnsi="Times New Roman" w:cs="Times New Roman"/>
          <w:b/>
          <w:bCs/>
          <w:sz w:val="28"/>
          <w:szCs w:val="28"/>
        </w:rPr>
        <w:t xml:space="preserve">1.5. Thuế thu nhập cá nhân </w:t>
      </w:r>
    </w:p>
    <w:p w14:paraId="7AE480D5" w14:textId="77777777" w:rsidR="002D473E" w:rsidRPr="002D473E" w:rsidRDefault="002D473E" w:rsidP="002D473E">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lang w:val="en-SG"/>
        </w:rPr>
        <w:t>Căn cứ Điều 12 Thông tư 111/2013/TT-BTCđược sửa đổi, bổ sung tại Điều 17 Thông tư 92/2015/TT-BTC quy định mức thuế thu nhập cá nhân như sau: Thuế suất đối với mua bán đất là 2% trên giá mua, bán hoặc giá cho thuê lại.</w:t>
      </w:r>
    </w:p>
    <w:p w14:paraId="2B2F6716" w14:textId="77777777" w:rsidR="002D473E" w:rsidRPr="002D473E" w:rsidRDefault="002D473E" w:rsidP="002D473E">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lang w:val="en-SG"/>
        </w:rPr>
        <w:t>Thuế thu nhập cá nhân đối với thu nhập từ mua, bán đất được xác định như sau: Thuế thu nhập cá nhân phải nộp = Giá chuyển nhượng x Thuế suất 2%.</w:t>
      </w:r>
    </w:p>
    <w:p w14:paraId="54928CA2" w14:textId="77777777" w:rsidR="002D473E" w:rsidRPr="002D473E" w:rsidRDefault="002D473E" w:rsidP="002D473E">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lang w:val="en-SG"/>
        </w:rPr>
        <w:t>Trường hợp mua bán đất là đồng sở hữu thì nghĩa vụ thuế được xác định riêng cho từng người nộp thuế theo tỷ lệ sở hữu bất động sản.</w:t>
      </w:r>
    </w:p>
    <w:p w14:paraId="16C9F4F0" w14:textId="529C7DC7" w:rsidR="002D473E" w:rsidRPr="00B30B9C" w:rsidRDefault="002D473E" w:rsidP="00B30B9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2D473E">
        <w:rPr>
          <w:rFonts w:ascii="Times New Roman" w:eastAsia="Times New Roman" w:hAnsi="Times New Roman" w:cs="Times New Roman"/>
          <w:sz w:val="28"/>
          <w:szCs w:val="28"/>
          <w:lang w:val="en-SG"/>
        </w:rPr>
        <w:t>Như vậy, theo luật sư, bạn đọc cần lưu ý cần tất cả 5 khoản chi phí sang tên sổ đỏ bao gồm: Lệ phí trước bạ; Phí thẩm định hồ sơ; Lệ phí cấp sổ đỏ; Phí công chứng, chức thực; Thuế thu nhập cá nhân.</w:t>
      </w:r>
    </w:p>
    <w:p w14:paraId="6065DC71" w14:textId="77777777" w:rsidR="00D537C6" w:rsidRPr="00D537C6" w:rsidRDefault="00D537C6" w:rsidP="00D8697C">
      <w:pPr>
        <w:spacing w:beforeLines="20" w:before="48" w:afterLines="20" w:after="48" w:line="360" w:lineRule="auto"/>
        <w:jc w:val="both"/>
        <w:outlineLvl w:val="1"/>
        <w:rPr>
          <w:rFonts w:ascii="Times New Roman" w:eastAsia="Times New Roman" w:hAnsi="Times New Roman" w:cs="Times New Roman"/>
          <w:b/>
          <w:bCs/>
          <w:sz w:val="28"/>
          <w:szCs w:val="28"/>
        </w:rPr>
      </w:pPr>
      <w:r w:rsidRPr="00D537C6">
        <w:rPr>
          <w:rFonts w:ascii="Times New Roman" w:eastAsia="Times New Roman" w:hAnsi="Times New Roman" w:cs="Times New Roman"/>
          <w:b/>
          <w:bCs/>
          <w:sz w:val="28"/>
          <w:szCs w:val="28"/>
        </w:rPr>
        <w:t>2. Mức thu lệ phí trước bạ</w:t>
      </w:r>
    </w:p>
    <w:p w14:paraId="178AFDB7"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B30B9C">
        <w:rPr>
          <w:rFonts w:ascii="Times New Roman" w:eastAsia="Times New Roman" w:hAnsi="Times New Roman" w:cs="Times New Roman"/>
          <w:color w:val="000000" w:themeColor="text1"/>
          <w:sz w:val="28"/>
          <w:szCs w:val="28"/>
          <w:lang w:val="en-SG"/>
        </w:rPr>
        <w:t>Căn cứ khoản 1 Điều 8 </w:t>
      </w:r>
      <w:hyperlink r:id="rId5" w:tgtFrame="_blank" w:history="1">
        <w:r w:rsidRPr="00B30B9C">
          <w:rPr>
            <w:rStyle w:val="Hyperlink"/>
            <w:rFonts w:ascii="Times New Roman" w:eastAsia="Times New Roman" w:hAnsi="Times New Roman" w:cs="Times New Roman"/>
            <w:color w:val="000000" w:themeColor="text1"/>
            <w:sz w:val="28"/>
            <w:szCs w:val="28"/>
            <w:u w:val="none"/>
            <w:lang w:val="en-SG"/>
          </w:rPr>
          <w:t>Nghị định 10/2022/NĐ-CP </w:t>
        </w:r>
      </w:hyperlink>
      <w:r w:rsidRPr="00B30B9C">
        <w:rPr>
          <w:rFonts w:ascii="Times New Roman" w:eastAsia="Times New Roman" w:hAnsi="Times New Roman" w:cs="Times New Roman"/>
          <w:color w:val="000000" w:themeColor="text1"/>
          <w:sz w:val="28"/>
          <w:szCs w:val="28"/>
          <w:lang w:val="en-SG"/>
        </w:rPr>
        <w:t>quy định như sau:</w:t>
      </w:r>
    </w:p>
    <w:p w14:paraId="4A3421C2"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i/>
          <w:iCs/>
          <w:sz w:val="28"/>
          <w:szCs w:val="28"/>
          <w:lang w:val="en-SG"/>
        </w:rPr>
      </w:pPr>
      <w:r w:rsidRPr="00B30B9C">
        <w:rPr>
          <w:rFonts w:ascii="Times New Roman" w:eastAsia="Times New Roman" w:hAnsi="Times New Roman" w:cs="Times New Roman"/>
          <w:b/>
          <w:bCs/>
          <w:i/>
          <w:iCs/>
          <w:sz w:val="28"/>
          <w:szCs w:val="28"/>
          <w:lang w:val="en-SG"/>
        </w:rPr>
        <w:t>Điều 8. Mức thu lệ phí trước bạ theo tỷ lệ (%)</w:t>
      </w:r>
    </w:p>
    <w:p w14:paraId="4CFFE5DE"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i/>
          <w:iCs/>
          <w:sz w:val="28"/>
          <w:szCs w:val="28"/>
          <w:lang w:val="en-SG"/>
        </w:rPr>
      </w:pPr>
      <w:r w:rsidRPr="00B30B9C">
        <w:rPr>
          <w:rFonts w:ascii="Times New Roman" w:eastAsia="Times New Roman" w:hAnsi="Times New Roman" w:cs="Times New Roman"/>
          <w:i/>
          <w:iCs/>
          <w:sz w:val="28"/>
          <w:szCs w:val="28"/>
          <w:lang w:val="en-SG"/>
        </w:rPr>
        <w:t>1. Nhà, đất: Mức thu là 0,5%.</w:t>
      </w:r>
    </w:p>
    <w:p w14:paraId="1022600D"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i/>
          <w:iCs/>
          <w:sz w:val="28"/>
          <w:szCs w:val="28"/>
          <w:lang w:val="en-SG"/>
        </w:rPr>
      </w:pPr>
      <w:r w:rsidRPr="00B30B9C">
        <w:rPr>
          <w:rFonts w:ascii="Times New Roman" w:eastAsia="Times New Roman" w:hAnsi="Times New Roman" w:cs="Times New Roman"/>
          <w:i/>
          <w:iCs/>
          <w:sz w:val="28"/>
          <w:szCs w:val="28"/>
          <w:lang w:val="en-SG"/>
        </w:rPr>
        <w:t>[...]</w:t>
      </w:r>
    </w:p>
    <w:p w14:paraId="059F4318" w14:textId="77777777" w:rsidR="00B30B9C" w:rsidRPr="00B30B9C" w:rsidRDefault="00B30B9C" w:rsidP="00B30B9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Theo đó, mức thu lệ phí trước bạ khi sang tên sổ đỏ là </w:t>
      </w:r>
      <w:r w:rsidRPr="00B30B9C">
        <w:rPr>
          <w:rFonts w:ascii="Times New Roman" w:eastAsia="Times New Roman" w:hAnsi="Times New Roman" w:cs="Times New Roman"/>
          <w:b/>
          <w:bCs/>
          <w:sz w:val="28"/>
          <w:szCs w:val="28"/>
          <w:lang w:val="en-SG"/>
        </w:rPr>
        <w:t>0,5%.</w:t>
      </w:r>
    </w:p>
    <w:p w14:paraId="49DD90FD" w14:textId="77777777" w:rsidR="00B30B9C" w:rsidRPr="00B30B9C" w:rsidRDefault="00B30B9C" w:rsidP="00B30B9C">
      <w:pPr>
        <w:spacing w:beforeLines="20" w:before="48" w:afterLines="20" w:after="48" w:line="360" w:lineRule="auto"/>
        <w:jc w:val="both"/>
        <w:outlineLvl w:val="1"/>
        <w:rPr>
          <w:rFonts w:ascii="Times New Roman" w:eastAsia="Times New Roman" w:hAnsi="Times New Roman" w:cs="Times New Roman"/>
          <w:color w:val="000000" w:themeColor="text1"/>
          <w:sz w:val="28"/>
          <w:szCs w:val="28"/>
          <w:lang w:val="en-SG"/>
        </w:rPr>
      </w:pPr>
      <w:r w:rsidRPr="00B30B9C">
        <w:rPr>
          <w:rFonts w:ascii="Times New Roman" w:eastAsia="Times New Roman" w:hAnsi="Times New Roman" w:cs="Times New Roman"/>
          <w:color w:val="000000" w:themeColor="text1"/>
          <w:sz w:val="28"/>
          <w:szCs w:val="28"/>
          <w:lang w:val="en-SG"/>
        </w:rPr>
        <w:lastRenderedPageBreak/>
        <w:t>Theo Điều 7 </w:t>
      </w:r>
      <w:hyperlink r:id="rId6" w:tgtFrame="_blank" w:history="1">
        <w:r w:rsidRPr="00B30B9C">
          <w:rPr>
            <w:rStyle w:val="Hyperlink"/>
            <w:rFonts w:ascii="Times New Roman" w:eastAsia="Times New Roman" w:hAnsi="Times New Roman" w:cs="Times New Roman"/>
            <w:color w:val="000000" w:themeColor="text1"/>
            <w:sz w:val="28"/>
            <w:szCs w:val="28"/>
            <w:u w:val="none"/>
            <w:lang w:val="en-SG"/>
          </w:rPr>
          <w:t>Nghị định 10/2022/NĐ-CP</w:t>
        </w:r>
      </w:hyperlink>
      <w:r w:rsidRPr="00B30B9C">
        <w:rPr>
          <w:rFonts w:ascii="Times New Roman" w:eastAsia="Times New Roman" w:hAnsi="Times New Roman" w:cs="Times New Roman"/>
          <w:color w:val="000000" w:themeColor="text1"/>
          <w:sz w:val="28"/>
          <w:szCs w:val="28"/>
          <w:lang w:val="en-SG"/>
        </w:rPr>
        <w:t> và Điều 3 </w:t>
      </w:r>
      <w:hyperlink r:id="rId7" w:tgtFrame="_blank" w:history="1">
        <w:r w:rsidRPr="00B30B9C">
          <w:rPr>
            <w:rStyle w:val="Hyperlink"/>
            <w:rFonts w:ascii="Times New Roman" w:eastAsia="Times New Roman" w:hAnsi="Times New Roman" w:cs="Times New Roman"/>
            <w:color w:val="000000" w:themeColor="text1"/>
            <w:sz w:val="28"/>
            <w:szCs w:val="28"/>
            <w:u w:val="none"/>
            <w:lang w:val="en-SG"/>
          </w:rPr>
          <w:t>Thông tư 13/2022/TT-BTC</w:t>
        </w:r>
      </w:hyperlink>
      <w:r w:rsidRPr="00B30B9C">
        <w:rPr>
          <w:rFonts w:ascii="Times New Roman" w:eastAsia="Times New Roman" w:hAnsi="Times New Roman" w:cs="Times New Roman"/>
          <w:color w:val="000000" w:themeColor="text1"/>
          <w:sz w:val="28"/>
          <w:szCs w:val="28"/>
          <w:lang w:val="en-SG"/>
        </w:rPr>
        <w:t> thì giá tính lệ phí trước bạ đối với nhà, đất được quy định như sau:</w:t>
      </w:r>
    </w:p>
    <w:p w14:paraId="54100643" w14:textId="77777777" w:rsidR="00B30B9C" w:rsidRPr="00B30B9C" w:rsidRDefault="00B30B9C" w:rsidP="00B30B9C">
      <w:pPr>
        <w:spacing w:beforeLines="20" w:before="48" w:afterLines="20" w:after="48" w:line="360" w:lineRule="auto"/>
        <w:jc w:val="both"/>
        <w:outlineLvl w:val="1"/>
        <w:rPr>
          <w:rFonts w:ascii="Times New Roman" w:eastAsia="Times New Roman" w:hAnsi="Times New Roman" w:cs="Times New Roman"/>
          <w:color w:val="000000" w:themeColor="text1"/>
          <w:sz w:val="28"/>
          <w:szCs w:val="28"/>
          <w:lang w:val="en-SG"/>
        </w:rPr>
      </w:pPr>
      <w:r w:rsidRPr="00B30B9C">
        <w:rPr>
          <w:rFonts w:ascii="Times New Roman" w:eastAsia="Times New Roman" w:hAnsi="Times New Roman" w:cs="Times New Roman"/>
          <w:b/>
          <w:bCs/>
          <w:color w:val="000000" w:themeColor="text1"/>
          <w:sz w:val="28"/>
          <w:szCs w:val="28"/>
          <w:lang w:val="en-SG"/>
        </w:rPr>
        <w:t>(1) </w:t>
      </w:r>
      <w:r w:rsidRPr="00B30B9C">
        <w:rPr>
          <w:rFonts w:ascii="Times New Roman" w:eastAsia="Times New Roman" w:hAnsi="Times New Roman" w:cs="Times New Roman"/>
          <w:color w:val="000000" w:themeColor="text1"/>
          <w:sz w:val="28"/>
          <w:szCs w:val="28"/>
          <w:lang w:val="en-SG"/>
        </w:rPr>
        <w:t>Giá nhà, đất tại hợp đồng chuyển quyền sử dụng đất, hợp đồng mua bán nhà cao hơn giá do Ủy ban nhân dân tỉnh, thành phố trực thuộc trung ương ban hành thì giá tính lệ phí trước bạ đối với nhà, đất là giá tại hợp đồng chuyển quyền sử dụng đất, hợp đồng mua bán nhà.</w:t>
      </w:r>
    </w:p>
    <w:p w14:paraId="05CD15B4" w14:textId="77777777" w:rsidR="00B30B9C" w:rsidRPr="00B30B9C" w:rsidRDefault="00B30B9C" w:rsidP="00B30B9C">
      <w:pPr>
        <w:spacing w:beforeLines="20" w:before="48" w:afterLines="20" w:after="48" w:line="360" w:lineRule="auto"/>
        <w:jc w:val="center"/>
        <w:outlineLvl w:val="1"/>
        <w:rPr>
          <w:rFonts w:ascii="Times New Roman" w:eastAsia="Times New Roman" w:hAnsi="Times New Roman" w:cs="Times New Roman"/>
          <w:sz w:val="28"/>
          <w:szCs w:val="28"/>
          <w:lang w:val="en-SG"/>
        </w:rPr>
      </w:pPr>
      <w:r w:rsidRPr="00B30B9C">
        <w:rPr>
          <w:rFonts w:ascii="Times New Roman" w:eastAsia="Times New Roman" w:hAnsi="Times New Roman" w:cs="Times New Roman"/>
          <w:b/>
          <w:bCs/>
          <w:sz w:val="28"/>
          <w:szCs w:val="28"/>
          <w:lang w:val="en-SG"/>
        </w:rPr>
        <w:t>Lệ phí trước bạ phải nộp = 0.5% x Giá chuyển nhượng (tổng số tiền phải trả ghi trong hợp đồng)</w:t>
      </w:r>
    </w:p>
    <w:p w14:paraId="27C65A4E" w14:textId="77777777" w:rsidR="00B30B9C" w:rsidRPr="00B30B9C" w:rsidRDefault="00B30B9C" w:rsidP="00B30B9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B30B9C">
        <w:rPr>
          <w:rFonts w:ascii="Times New Roman" w:eastAsia="Times New Roman" w:hAnsi="Times New Roman" w:cs="Times New Roman"/>
          <w:b/>
          <w:bCs/>
          <w:sz w:val="28"/>
          <w:szCs w:val="28"/>
          <w:lang w:val="en-SG"/>
        </w:rPr>
        <w:t>(2) </w:t>
      </w:r>
      <w:r w:rsidRPr="00B30B9C">
        <w:rPr>
          <w:rFonts w:ascii="Times New Roman" w:eastAsia="Times New Roman" w:hAnsi="Times New Roman" w:cs="Times New Roman"/>
          <w:sz w:val="28"/>
          <w:szCs w:val="28"/>
          <w:lang w:val="en-SG"/>
        </w:rPr>
        <w:t>Giá nhà, đất tại hợp đồng chuyển quyền sử dụng đất, hợp đồng mua bán nhà bằng hoặc thấp hơn giá do Ủy ban nhân dân tỉnh, thành phố trực thuộc trung ương ban hành.</w:t>
      </w:r>
    </w:p>
    <w:p w14:paraId="7F8339D9" w14:textId="77777777" w:rsidR="00B30B9C" w:rsidRPr="00B30B9C" w:rsidRDefault="00B30B9C" w:rsidP="00B30B9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 Cách tính lệ phí trước bạ khi đăng ký quyền sử dụng đất:</w:t>
      </w:r>
    </w:p>
    <w:p w14:paraId="684F4007" w14:textId="77777777" w:rsidR="00B30B9C" w:rsidRPr="00B30B9C" w:rsidRDefault="00B30B9C" w:rsidP="00B30B9C">
      <w:pPr>
        <w:spacing w:beforeLines="20" w:before="48" w:afterLines="20" w:after="48" w:line="360" w:lineRule="auto"/>
        <w:jc w:val="center"/>
        <w:outlineLvl w:val="1"/>
        <w:rPr>
          <w:rFonts w:ascii="Times New Roman" w:eastAsia="Times New Roman" w:hAnsi="Times New Roman" w:cs="Times New Roman"/>
          <w:b/>
          <w:bCs/>
          <w:sz w:val="28"/>
          <w:szCs w:val="28"/>
          <w:lang w:val="en-SG"/>
        </w:rPr>
      </w:pPr>
      <w:r w:rsidRPr="00B30B9C">
        <w:rPr>
          <w:rFonts w:ascii="Times New Roman" w:eastAsia="Times New Roman" w:hAnsi="Times New Roman" w:cs="Times New Roman"/>
          <w:b/>
          <w:bCs/>
          <w:sz w:val="28"/>
          <w:szCs w:val="28"/>
          <w:lang w:val="en-SG"/>
        </w:rPr>
        <w:t>Lệ phí trước bạ</w:t>
      </w:r>
      <w:r w:rsidRPr="00B30B9C">
        <w:rPr>
          <w:rFonts w:ascii="Times New Roman" w:eastAsia="Times New Roman" w:hAnsi="Times New Roman" w:cs="Times New Roman"/>
          <w:sz w:val="28"/>
          <w:szCs w:val="28"/>
          <w:lang w:val="en-SG"/>
        </w:rPr>
        <w:t> </w:t>
      </w:r>
      <w:r w:rsidRPr="00B30B9C">
        <w:rPr>
          <w:rFonts w:ascii="Times New Roman" w:eastAsia="Times New Roman" w:hAnsi="Times New Roman" w:cs="Times New Roman"/>
          <w:b/>
          <w:bCs/>
          <w:sz w:val="28"/>
          <w:szCs w:val="28"/>
          <w:lang w:val="en-SG"/>
        </w:rPr>
        <w:t>= 0.5% x Diện tích x Giá 01m2 tại bảng giá đất</w:t>
      </w:r>
    </w:p>
    <w:p w14:paraId="435832AC" w14:textId="77777777" w:rsidR="00B30B9C" w:rsidRPr="00B30B9C" w:rsidRDefault="00B30B9C" w:rsidP="00B30B9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 Cách tính lệ phí trước bạ khi đăng ký quyền sở hữu nhà ở:</w:t>
      </w:r>
    </w:p>
    <w:p w14:paraId="299CBA11" w14:textId="77777777" w:rsidR="00B30B9C" w:rsidRPr="00B30B9C" w:rsidRDefault="00B30B9C" w:rsidP="00B30B9C">
      <w:pPr>
        <w:spacing w:beforeLines="20" w:before="48" w:afterLines="20" w:after="48" w:line="360" w:lineRule="auto"/>
        <w:jc w:val="center"/>
        <w:outlineLvl w:val="1"/>
        <w:rPr>
          <w:rFonts w:ascii="Times New Roman" w:eastAsia="Times New Roman" w:hAnsi="Times New Roman" w:cs="Times New Roman"/>
          <w:sz w:val="28"/>
          <w:szCs w:val="28"/>
          <w:lang w:val="en-SG"/>
        </w:rPr>
      </w:pPr>
      <w:r w:rsidRPr="00B30B9C">
        <w:rPr>
          <w:rFonts w:ascii="Times New Roman" w:eastAsia="Times New Roman" w:hAnsi="Times New Roman" w:cs="Times New Roman"/>
          <w:b/>
          <w:bCs/>
          <w:sz w:val="28"/>
          <w:szCs w:val="28"/>
          <w:lang w:val="en-SG"/>
        </w:rPr>
        <w:t>Lệ phí trước bạ</w:t>
      </w:r>
      <w:r w:rsidRPr="00B30B9C">
        <w:rPr>
          <w:rFonts w:ascii="Times New Roman" w:eastAsia="Times New Roman" w:hAnsi="Times New Roman" w:cs="Times New Roman"/>
          <w:sz w:val="28"/>
          <w:szCs w:val="28"/>
          <w:lang w:val="en-SG"/>
        </w:rPr>
        <w:t> </w:t>
      </w:r>
      <w:r w:rsidRPr="00B30B9C">
        <w:rPr>
          <w:rFonts w:ascii="Times New Roman" w:eastAsia="Times New Roman" w:hAnsi="Times New Roman" w:cs="Times New Roman"/>
          <w:b/>
          <w:bCs/>
          <w:sz w:val="28"/>
          <w:szCs w:val="28"/>
          <w:lang w:val="en-SG"/>
        </w:rPr>
        <w:t>= 0.5% x (Diện tích x Giá 01m2 x Tỷ lệ % chất lượng còn lại)</w:t>
      </w:r>
    </w:p>
    <w:p w14:paraId="7C9ADFE2" w14:textId="77777777" w:rsidR="00B30B9C" w:rsidRDefault="00B30B9C" w:rsidP="00B30B9C">
      <w:pPr>
        <w:spacing w:beforeLines="20" w:before="48" w:afterLines="20" w:after="48" w:line="360" w:lineRule="auto"/>
        <w:jc w:val="both"/>
        <w:outlineLvl w:val="1"/>
        <w:rPr>
          <w:rFonts w:ascii="Times New Roman" w:eastAsia="Times New Roman" w:hAnsi="Times New Roman" w:cs="Times New Roman"/>
          <w:i/>
          <w:iCs/>
          <w:sz w:val="28"/>
          <w:szCs w:val="28"/>
          <w:lang w:val="en-SG"/>
        </w:rPr>
      </w:pPr>
      <w:r w:rsidRPr="00B30B9C">
        <w:rPr>
          <w:rFonts w:ascii="Times New Roman" w:eastAsia="Times New Roman" w:hAnsi="Times New Roman" w:cs="Times New Roman"/>
          <w:i/>
          <w:iCs/>
          <w:sz w:val="28"/>
          <w:szCs w:val="28"/>
          <w:lang w:val="en-SG"/>
        </w:rPr>
        <w:t>Trong đó:</w:t>
      </w:r>
    </w:p>
    <w:p w14:paraId="66782E7F" w14:textId="77777777" w:rsidR="00B30B9C" w:rsidRPr="00B30B9C" w:rsidRDefault="00B30B9C" w:rsidP="00B30B9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 Giá tính lệ phí trước bạ đối với nhà là giá do UBND cấp tỉnh ban hành tại thời điểm kê khai lệ phí trước bạ (giá 01m2 do UBND cấp tỉnh quy định nên để tính chính xác phải xem trong quyết định của UBND từng tỉnh thành).</w:t>
      </w:r>
    </w:p>
    <w:p w14:paraId="4521446D" w14:textId="20A07515" w:rsidR="00B30B9C" w:rsidRPr="00B30B9C" w:rsidRDefault="00B30B9C" w:rsidP="00B30B9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 Tỷ lệ (%) chất lượng còn lại do UBND cấp tỉnh ban hành (khấu trừ theo thời gian).</w:t>
      </w:r>
    </w:p>
    <w:p w14:paraId="76CE5D15" w14:textId="793A1532" w:rsidR="00D537C6" w:rsidRPr="00D537C6" w:rsidRDefault="00D537C6" w:rsidP="00D8697C">
      <w:pPr>
        <w:spacing w:beforeLines="20" w:before="48" w:afterLines="20" w:after="48" w:line="360" w:lineRule="auto"/>
        <w:jc w:val="both"/>
        <w:outlineLvl w:val="1"/>
        <w:rPr>
          <w:rFonts w:ascii="Times New Roman" w:eastAsia="Times New Roman" w:hAnsi="Times New Roman" w:cs="Times New Roman"/>
          <w:b/>
          <w:bCs/>
          <w:sz w:val="28"/>
          <w:szCs w:val="28"/>
        </w:rPr>
      </w:pPr>
      <w:r w:rsidRPr="00D537C6">
        <w:rPr>
          <w:rFonts w:ascii="Times New Roman" w:eastAsia="Times New Roman" w:hAnsi="Times New Roman" w:cs="Times New Roman"/>
          <w:b/>
          <w:bCs/>
          <w:sz w:val="28"/>
          <w:szCs w:val="28"/>
        </w:rPr>
        <w:t xml:space="preserve">3. </w:t>
      </w:r>
      <w:r w:rsidR="00B30B9C">
        <w:rPr>
          <w:rFonts w:ascii="Times New Roman" w:eastAsia="Times New Roman" w:hAnsi="Times New Roman" w:cs="Times New Roman"/>
          <w:b/>
          <w:bCs/>
          <w:sz w:val="28"/>
          <w:szCs w:val="28"/>
        </w:rPr>
        <w:t xml:space="preserve">Các trường hợp được miễn lệ phí trước bạ khi sang tên sổ đỏ </w:t>
      </w:r>
    </w:p>
    <w:p w14:paraId="4ECF4A06" w14:textId="06927A54" w:rsidR="00B30B9C" w:rsidRDefault="00B30B9C" w:rsidP="00D8697C">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B30B9C">
        <w:rPr>
          <w:rFonts w:ascii="Times New Roman" w:eastAsia="Times New Roman" w:hAnsi="Times New Roman" w:cs="Times New Roman"/>
          <w:sz w:val="28"/>
          <w:szCs w:val="28"/>
        </w:rPr>
        <w:t>ác trường hợp được miễn lệ phí trước bạ khi sang tên sổ đỏ là</w:t>
      </w:r>
      <w:r>
        <w:rPr>
          <w:rFonts w:ascii="Times New Roman" w:eastAsia="Times New Roman" w:hAnsi="Times New Roman" w:cs="Times New Roman"/>
          <w:sz w:val="28"/>
          <w:szCs w:val="28"/>
        </w:rPr>
        <w:t>:</w:t>
      </w:r>
    </w:p>
    <w:p w14:paraId="66598FAB"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(1) Đất nông nghiệp chuyển đổi quyền sử dụng giữa các hộ gia đình, cá nhân trong cùng xã, phường, thị trấn để thuận lợi cho sản xuất nông nghiệp theo quy định.</w:t>
      </w:r>
    </w:p>
    <w:p w14:paraId="14E98ADC"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(2) Nhà, đất nhận thừa kế hoặc là quà tặng giữa:</w:t>
      </w:r>
    </w:p>
    <w:p w14:paraId="5E80D770"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 Vợ với chồng.</w:t>
      </w:r>
    </w:p>
    <w:p w14:paraId="0FD5C266"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 Cha đẻ, mẹ đẻ với con đẻ.</w:t>
      </w:r>
    </w:p>
    <w:p w14:paraId="168F8D50"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lastRenderedPageBreak/>
        <w:t>- Cha nuôi, mẹ nuôi với con nuôi.</w:t>
      </w:r>
    </w:p>
    <w:p w14:paraId="1C2CE9C4"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 Cha chồng, mẹ chồng với con dâu.</w:t>
      </w:r>
    </w:p>
    <w:p w14:paraId="0210C46C"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 Cha vợ, mẹ vợ với con rể.</w:t>
      </w:r>
    </w:p>
    <w:p w14:paraId="584C09E5"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 Ông nội, bà nội với cháu nội.</w:t>
      </w:r>
    </w:p>
    <w:p w14:paraId="78248BE7" w14:textId="77777777" w:rsidR="00B30B9C" w:rsidRPr="00B30B9C" w:rsidRDefault="00B30B9C" w:rsidP="00B30B9C">
      <w:pPr>
        <w:spacing w:beforeLines="20" w:before="48" w:afterLines="20" w:after="48" w:line="360" w:lineRule="auto"/>
        <w:jc w:val="both"/>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 Ông ngoại, bà ngoại với cháu ngoại.</w:t>
      </w:r>
    </w:p>
    <w:p w14:paraId="54A02A60" w14:textId="0D6C6044" w:rsidR="00B30B9C" w:rsidRPr="00B30B9C" w:rsidRDefault="00B30B9C" w:rsidP="00D8697C">
      <w:pPr>
        <w:spacing w:beforeLines="20" w:before="48" w:afterLines="20" w:after="48" w:line="360" w:lineRule="auto"/>
        <w:jc w:val="both"/>
        <w:rPr>
          <w:rFonts w:ascii="Times New Roman" w:eastAsia="Times New Roman" w:hAnsi="Times New Roman" w:cs="Times New Roman"/>
          <w:sz w:val="28"/>
          <w:szCs w:val="28"/>
          <w:lang w:val="en-SG"/>
        </w:rPr>
      </w:pPr>
      <w:r w:rsidRPr="00B30B9C">
        <w:rPr>
          <w:rFonts w:ascii="Times New Roman" w:eastAsia="Times New Roman" w:hAnsi="Times New Roman" w:cs="Times New Roman"/>
          <w:sz w:val="28"/>
          <w:szCs w:val="28"/>
          <w:lang w:val="en-SG"/>
        </w:rPr>
        <w:t>- Anh, chị, em ruột với nhau nay được cơ quan nhà nước có thẩm quyền cấp giấy chứng nhận quyền sử dụng đất, quyền sở hữu nhà ở và tài sản khác gắn liền với đất.</w:t>
      </w:r>
    </w:p>
    <w:p w14:paraId="7F76ED68" w14:textId="15B94008" w:rsidR="00D537C6" w:rsidRPr="00D537C6" w:rsidRDefault="002D473E" w:rsidP="00D8697C">
      <w:pPr>
        <w:spacing w:beforeLines="20" w:before="48" w:afterLines="20" w:after="48"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D537C6" w:rsidRPr="00D537C6">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Thời hạn phải thực hiện thủ tục sang tên sổ đỏ </w:t>
      </w:r>
    </w:p>
    <w:p w14:paraId="59ABC48D" w14:textId="77777777" w:rsidR="002D473E" w:rsidRDefault="002D473E" w:rsidP="00D8697C">
      <w:pPr>
        <w:spacing w:beforeLines="20" w:before="48" w:afterLines="20" w:after="48" w:line="360" w:lineRule="auto"/>
        <w:jc w:val="both"/>
        <w:rPr>
          <w:rFonts w:ascii="Times New Roman" w:eastAsia="Times New Roman" w:hAnsi="Times New Roman" w:cs="Times New Roman"/>
          <w:sz w:val="28"/>
          <w:szCs w:val="28"/>
        </w:rPr>
      </w:pPr>
      <w:r w:rsidRPr="002D473E">
        <w:rPr>
          <w:rFonts w:ascii="Times New Roman" w:eastAsia="Times New Roman" w:hAnsi="Times New Roman" w:cs="Times New Roman"/>
          <w:sz w:val="28"/>
          <w:szCs w:val="28"/>
        </w:rPr>
        <w:t>Căn cứ Khoản 3 Điều 133 Luật Đất đai 2024 quy định trong thời hạn 30 ngày, kể từ ngày chuyển nhượng, tặng cho quyền sử dụng đất, quyền sở hữu tài sản gắn liền với đất, người sử dụng đất phải thực hiện thủ tục đăng ký biến động (hay còn gọi là sang tên sổ đỏ).</w:t>
      </w:r>
    </w:p>
    <w:p w14:paraId="7876B3C9" w14:textId="52115C0E" w:rsidR="00D537C6" w:rsidRPr="00C94F0A" w:rsidRDefault="00D537C6" w:rsidP="00D8697C">
      <w:pPr>
        <w:spacing w:beforeLines="20" w:before="48" w:afterLines="20" w:after="48" w:line="360" w:lineRule="auto"/>
        <w:jc w:val="both"/>
        <w:rPr>
          <w:rFonts w:ascii="Times New Roman" w:hAnsi="Times New Roman" w:cs="Times New Roman"/>
          <w:i/>
          <w:iCs/>
          <w:sz w:val="28"/>
          <w:szCs w:val="28"/>
        </w:rPr>
      </w:pPr>
      <w:r w:rsidRPr="00C94F0A">
        <w:rPr>
          <w:rFonts w:ascii="Times New Roman" w:hAnsi="Times New Roman" w:cs="Times New Roman"/>
          <w:i/>
          <w:iCs/>
          <w:sz w:val="28"/>
          <w:szCs w:val="28"/>
        </w:rPr>
        <w:t xml:space="preserve">Trên đây là thông tin về </w:t>
      </w:r>
      <w:r w:rsidR="002D473E">
        <w:rPr>
          <w:rFonts w:ascii="Times New Roman" w:hAnsi="Times New Roman" w:cs="Times New Roman"/>
          <w:i/>
          <w:iCs/>
          <w:sz w:val="28"/>
          <w:szCs w:val="28"/>
        </w:rPr>
        <w:t>m</w:t>
      </w:r>
      <w:r w:rsidR="002D473E" w:rsidRPr="002D473E">
        <w:rPr>
          <w:rFonts w:ascii="Times New Roman" w:hAnsi="Times New Roman" w:cs="Times New Roman"/>
          <w:i/>
          <w:iCs/>
          <w:sz w:val="28"/>
          <w:szCs w:val="28"/>
        </w:rPr>
        <w:t>ức nộp và cách nộp lệ phí sang tên sổ đỏ 2025. Mong rằng những chia sẻ này sẽ hữu ích cho bạn trong công việc. Hãy theo dõi Viet</w:t>
      </w:r>
      <w:r w:rsidR="002D473E">
        <w:rPr>
          <w:rFonts w:ascii="Times New Roman" w:hAnsi="Times New Roman" w:cs="Times New Roman"/>
          <w:i/>
          <w:iCs/>
          <w:sz w:val="28"/>
          <w:szCs w:val="28"/>
        </w:rPr>
        <w:t>J</w:t>
      </w:r>
      <w:r w:rsidR="002D473E" w:rsidRPr="002D473E">
        <w:rPr>
          <w:rFonts w:ascii="Times New Roman" w:hAnsi="Times New Roman" w:cs="Times New Roman"/>
          <w:i/>
          <w:iCs/>
          <w:sz w:val="28"/>
          <w:szCs w:val="28"/>
        </w:rPr>
        <w:t xml:space="preserve">ack để không bỏ lỡ các cập nhật quan trọng về giáo dục và các </w:t>
      </w:r>
      <w:r w:rsidR="002D473E">
        <w:rPr>
          <w:rFonts w:ascii="Times New Roman" w:hAnsi="Times New Roman" w:cs="Times New Roman"/>
          <w:i/>
          <w:iCs/>
          <w:sz w:val="28"/>
          <w:szCs w:val="28"/>
        </w:rPr>
        <w:t>thông tin</w:t>
      </w:r>
      <w:r w:rsidR="002D473E" w:rsidRPr="002D473E">
        <w:rPr>
          <w:rFonts w:ascii="Times New Roman" w:hAnsi="Times New Roman" w:cs="Times New Roman"/>
          <w:i/>
          <w:iCs/>
          <w:sz w:val="28"/>
          <w:szCs w:val="28"/>
        </w:rPr>
        <w:t xml:space="preserve"> hữu ích khác trong tương lai!</w:t>
      </w:r>
    </w:p>
    <w:sectPr w:rsidR="00D537C6" w:rsidRPr="00C94F0A" w:rsidSect="009F71B0">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C6"/>
    <w:rsid w:val="002D473E"/>
    <w:rsid w:val="009F71B0"/>
    <w:rsid w:val="00A1317F"/>
    <w:rsid w:val="00B30B9C"/>
    <w:rsid w:val="00B37DB2"/>
    <w:rsid w:val="00C94F0A"/>
    <w:rsid w:val="00D537C6"/>
    <w:rsid w:val="00D8697C"/>
    <w:rsid w:val="00E4154E"/>
    <w:rsid w:val="00E9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6B81"/>
  <w15:chartTrackingRefBased/>
  <w15:docId w15:val="{30478B64-3F91-4967-9734-324CE2D7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37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37C6"/>
    <w:rPr>
      <w:rFonts w:ascii="Times New Roman" w:eastAsia="Times New Roman" w:hAnsi="Times New Roman" w:cs="Times New Roman"/>
      <w:b/>
      <w:bCs/>
      <w:sz w:val="36"/>
      <w:szCs w:val="36"/>
    </w:rPr>
  </w:style>
  <w:style w:type="character" w:styleId="Strong">
    <w:name w:val="Strong"/>
    <w:basedOn w:val="DefaultParagraphFont"/>
    <w:uiPriority w:val="22"/>
    <w:qFormat/>
    <w:rsid w:val="00D537C6"/>
    <w:rPr>
      <w:b/>
      <w:bCs/>
    </w:rPr>
  </w:style>
  <w:style w:type="paragraph" w:styleId="NormalWeb">
    <w:name w:val="Normal (Web)"/>
    <w:basedOn w:val="Normal"/>
    <w:uiPriority w:val="99"/>
    <w:semiHidden/>
    <w:unhideWhenUsed/>
    <w:rsid w:val="00D537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37C6"/>
    <w:rPr>
      <w:color w:val="0000FF"/>
      <w:u w:val="single"/>
    </w:rPr>
  </w:style>
  <w:style w:type="character" w:styleId="Emphasis">
    <w:name w:val="Emphasis"/>
    <w:basedOn w:val="DefaultParagraphFont"/>
    <w:uiPriority w:val="20"/>
    <w:qFormat/>
    <w:rsid w:val="00D537C6"/>
    <w:rPr>
      <w:i/>
      <w:iCs/>
    </w:rPr>
  </w:style>
  <w:style w:type="paragraph" w:customStyle="1" w:styleId="uk-ima-control-bar-remain-time">
    <w:name w:val="uk-ima-control-bar-remain-time"/>
    <w:basedOn w:val="Normal"/>
    <w:rsid w:val="00D537C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30B9C"/>
    <w:rPr>
      <w:color w:val="605E5C"/>
      <w:shd w:val="clear" w:color="auto" w:fill="E1DFDD"/>
    </w:rPr>
  </w:style>
  <w:style w:type="table" w:styleId="TableGrid">
    <w:name w:val="Table Grid"/>
    <w:basedOn w:val="TableNormal"/>
    <w:uiPriority w:val="39"/>
    <w:rsid w:val="00B30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14128">
      <w:bodyDiv w:val="1"/>
      <w:marLeft w:val="0"/>
      <w:marRight w:val="0"/>
      <w:marTop w:val="0"/>
      <w:marBottom w:val="0"/>
      <w:divBdr>
        <w:top w:val="none" w:sz="0" w:space="0" w:color="auto"/>
        <w:left w:val="none" w:sz="0" w:space="0" w:color="auto"/>
        <w:bottom w:val="none" w:sz="0" w:space="0" w:color="auto"/>
        <w:right w:val="none" w:sz="0" w:space="0" w:color="auto"/>
      </w:divBdr>
      <w:divsChild>
        <w:div w:id="812647785">
          <w:marLeft w:val="0"/>
          <w:marRight w:val="0"/>
          <w:marTop w:val="0"/>
          <w:marBottom w:val="0"/>
          <w:divBdr>
            <w:top w:val="none" w:sz="0" w:space="0" w:color="auto"/>
            <w:left w:val="none" w:sz="0" w:space="0" w:color="auto"/>
            <w:bottom w:val="none" w:sz="0" w:space="0" w:color="auto"/>
            <w:right w:val="none" w:sz="0" w:space="0" w:color="auto"/>
          </w:divBdr>
          <w:divsChild>
            <w:div w:id="19820917">
              <w:marLeft w:val="0"/>
              <w:marRight w:val="0"/>
              <w:marTop w:val="0"/>
              <w:marBottom w:val="0"/>
              <w:divBdr>
                <w:top w:val="none" w:sz="0" w:space="0" w:color="auto"/>
                <w:left w:val="none" w:sz="0" w:space="0" w:color="auto"/>
                <w:bottom w:val="none" w:sz="0" w:space="0" w:color="auto"/>
                <w:right w:val="none" w:sz="0" w:space="0" w:color="auto"/>
              </w:divBdr>
              <w:divsChild>
                <w:div w:id="293408470">
                  <w:marLeft w:val="0"/>
                  <w:marRight w:val="0"/>
                  <w:marTop w:val="0"/>
                  <w:marBottom w:val="0"/>
                  <w:divBdr>
                    <w:top w:val="none" w:sz="0" w:space="0" w:color="auto"/>
                    <w:left w:val="none" w:sz="0" w:space="0" w:color="auto"/>
                    <w:bottom w:val="none" w:sz="0" w:space="0" w:color="auto"/>
                    <w:right w:val="none" w:sz="0" w:space="0" w:color="auto"/>
                  </w:divBdr>
                </w:div>
                <w:div w:id="548495790">
                  <w:marLeft w:val="0"/>
                  <w:marRight w:val="0"/>
                  <w:marTop w:val="0"/>
                  <w:marBottom w:val="0"/>
                  <w:divBdr>
                    <w:top w:val="none" w:sz="0" w:space="0" w:color="auto"/>
                    <w:left w:val="none" w:sz="0" w:space="0" w:color="auto"/>
                    <w:bottom w:val="none" w:sz="0" w:space="0" w:color="auto"/>
                    <w:right w:val="none" w:sz="0" w:space="0" w:color="auto"/>
                  </w:divBdr>
                  <w:divsChild>
                    <w:div w:id="151681647">
                      <w:marLeft w:val="0"/>
                      <w:marRight w:val="0"/>
                      <w:marTop w:val="0"/>
                      <w:marBottom w:val="0"/>
                      <w:divBdr>
                        <w:top w:val="none" w:sz="0" w:space="0" w:color="auto"/>
                        <w:left w:val="none" w:sz="0" w:space="0" w:color="auto"/>
                        <w:bottom w:val="none" w:sz="0" w:space="0" w:color="auto"/>
                        <w:right w:val="none" w:sz="0" w:space="0" w:color="auto"/>
                      </w:divBdr>
                      <w:divsChild>
                        <w:div w:id="1219975141">
                          <w:marLeft w:val="0"/>
                          <w:marRight w:val="0"/>
                          <w:marTop w:val="0"/>
                          <w:marBottom w:val="0"/>
                          <w:divBdr>
                            <w:top w:val="none" w:sz="0" w:space="0" w:color="auto"/>
                            <w:left w:val="none" w:sz="0" w:space="0" w:color="auto"/>
                            <w:bottom w:val="none" w:sz="0" w:space="0" w:color="auto"/>
                            <w:right w:val="none" w:sz="0" w:space="0" w:color="auto"/>
                          </w:divBdr>
                          <w:divsChild>
                            <w:div w:id="878396316">
                              <w:marLeft w:val="0"/>
                              <w:marRight w:val="0"/>
                              <w:marTop w:val="0"/>
                              <w:marBottom w:val="0"/>
                              <w:divBdr>
                                <w:top w:val="none" w:sz="0" w:space="0" w:color="auto"/>
                                <w:left w:val="none" w:sz="0" w:space="0" w:color="auto"/>
                                <w:bottom w:val="none" w:sz="0" w:space="0" w:color="auto"/>
                                <w:right w:val="none" w:sz="0" w:space="0" w:color="auto"/>
                              </w:divBdr>
                              <w:divsChild>
                                <w:div w:id="7153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82993">
          <w:marLeft w:val="0"/>
          <w:marRight w:val="0"/>
          <w:marTop w:val="150"/>
          <w:marBottom w:val="300"/>
          <w:divBdr>
            <w:top w:val="dashed" w:sz="6" w:space="11" w:color="F9AD81"/>
            <w:left w:val="dashed" w:sz="6" w:space="11" w:color="F9AD81"/>
            <w:bottom w:val="dashed" w:sz="6" w:space="11" w:color="F9AD81"/>
            <w:right w:val="dashed" w:sz="6" w:space="11" w:color="F9AD81"/>
          </w:divBdr>
        </w:div>
        <w:div w:id="5258083">
          <w:blockQuote w:val="1"/>
          <w:marLeft w:val="420"/>
          <w:marRight w:val="0"/>
          <w:marTop w:val="0"/>
          <w:marBottom w:val="0"/>
          <w:divBdr>
            <w:top w:val="none" w:sz="0" w:space="0" w:color="auto"/>
            <w:left w:val="single" w:sz="18" w:space="12" w:color="CCCCCC"/>
            <w:bottom w:val="none" w:sz="0" w:space="0" w:color="auto"/>
            <w:right w:val="none" w:sz="0" w:space="0" w:color="auto"/>
          </w:divBdr>
        </w:div>
        <w:div w:id="1703750566">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15429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documents/law.aspx?id=E=RrMk5EQTTk&amp;mode=o=dsbGRWOHW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documents/law.aspx?id=Q=RnME56WTTk&amp;mode=M=dsbGRWODWk" TargetMode="External"/><Relationship Id="rId5" Type="http://schemas.openxmlformats.org/officeDocument/2006/relationships/hyperlink" Target="https://thuvienphapluat.vn/documents/law.aspx?id=Q=RnME56WTTk&amp;mode=Q=dsbGRWODW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2025-11-13T02:56:00Z</dcterms:created>
  <dcterms:modified xsi:type="dcterms:W3CDTF">2025-11-13T02:56:00Z</dcterms:modified>
</cp:coreProperties>
</file>