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31" w:type="dxa"/>
        <w:tblInd w:w="-1170" w:type="dxa"/>
        <w:tblLayout w:type="fixed"/>
        <w:tblLook w:val="0000" w:firstRow="0" w:lastRow="0" w:firstColumn="0" w:lastColumn="0" w:noHBand="0" w:noVBand="0"/>
      </w:tblPr>
      <w:tblGrid>
        <w:gridCol w:w="3757"/>
        <w:gridCol w:w="2093"/>
        <w:gridCol w:w="4088"/>
        <w:gridCol w:w="2093"/>
      </w:tblGrid>
      <w:tr w:rsidR="00CC0CE5" w:rsidRPr="00CC0CE5" w:rsidTr="00CC0CE5">
        <w:trPr>
          <w:gridAfter w:val="1"/>
          <w:wAfter w:w="2093" w:type="dxa"/>
          <w:trHeight w:val="1920"/>
        </w:trPr>
        <w:tc>
          <w:tcPr>
            <w:tcW w:w="3757" w:type="dxa"/>
          </w:tcPr>
          <w:p w:rsidR="00CC0CE5" w:rsidRPr="00CC0CE5" w:rsidRDefault="00CC0CE5" w:rsidP="002D1546">
            <w:pPr>
              <w:spacing w:beforeLines="50" w:before="120" w:afterLines="50" w:after="120" w:line="312" w:lineRule="auto"/>
              <w:jc w:val="center"/>
              <w:rPr>
                <w:rFonts w:ascii="Times New Roman" w:hAnsi="Times New Roman"/>
                <w:b/>
                <w:szCs w:val="28"/>
              </w:rPr>
            </w:pPr>
            <w:r w:rsidRPr="00CC0CE5">
              <w:rPr>
                <w:rFonts w:ascii="Times New Roman" w:hAnsi="Times New Roman"/>
                <w:b/>
                <w:szCs w:val="28"/>
              </w:rPr>
              <w:t>BỘ Y TẾ</w:t>
            </w:r>
            <w:r w:rsidRPr="00CC0CE5">
              <w:rPr>
                <w:rFonts w:ascii="Times New Roman" w:hAnsi="Times New Roman"/>
                <w:b/>
                <w:szCs w:val="28"/>
              </w:rPr>
              <w:br/>
              <w:t>--------</w:t>
            </w:r>
          </w:p>
        </w:tc>
        <w:tc>
          <w:tcPr>
            <w:tcW w:w="6181" w:type="dxa"/>
            <w:gridSpan w:val="2"/>
          </w:tcPr>
          <w:p w:rsidR="00CC0CE5" w:rsidRPr="00CC0CE5" w:rsidRDefault="00CC0CE5" w:rsidP="002D1546">
            <w:pPr>
              <w:spacing w:beforeLines="50" w:before="120" w:afterLines="50" w:after="120" w:line="312" w:lineRule="auto"/>
              <w:jc w:val="center"/>
              <w:rPr>
                <w:rFonts w:ascii="Times New Roman" w:hAnsi="Times New Roman"/>
                <w:szCs w:val="28"/>
              </w:rPr>
            </w:pPr>
            <w:r w:rsidRPr="00CC0CE5">
              <w:rPr>
                <w:rFonts w:ascii="Times New Roman" w:hAnsi="Times New Roman"/>
                <w:b/>
                <w:szCs w:val="28"/>
              </w:rPr>
              <w:t>CỘNG HÒA XÃ HỘI CHỦ NGHĨA VIỆT NAM</w:t>
            </w:r>
            <w:r w:rsidRPr="00CC0CE5">
              <w:rPr>
                <w:rFonts w:ascii="Times New Roman" w:hAnsi="Times New Roman"/>
                <w:b/>
                <w:szCs w:val="28"/>
              </w:rPr>
              <w:br/>
              <w:t xml:space="preserve">Độc lập - Tự do - Hạnh phúc </w:t>
            </w:r>
            <w:r w:rsidRPr="00CC0CE5">
              <w:rPr>
                <w:rFonts w:ascii="Times New Roman" w:hAnsi="Times New Roman"/>
                <w:b/>
                <w:szCs w:val="28"/>
              </w:rPr>
              <w:br/>
              <w:t>---------------</w:t>
            </w:r>
          </w:p>
        </w:tc>
        <w:bookmarkStart w:id="0" w:name="_GoBack"/>
        <w:bookmarkEnd w:id="0"/>
      </w:tr>
      <w:tr w:rsidR="00CC0CE5" w:rsidRPr="00CC0CE5" w:rsidTr="00CC0CE5">
        <w:trPr>
          <w:trHeight w:val="660"/>
        </w:trPr>
        <w:tc>
          <w:tcPr>
            <w:tcW w:w="5850" w:type="dxa"/>
            <w:gridSpan w:val="2"/>
          </w:tcPr>
          <w:p w:rsidR="00CC0CE5" w:rsidRPr="00CC0CE5" w:rsidRDefault="00CC0CE5" w:rsidP="00CC0CE5">
            <w:pPr>
              <w:spacing w:beforeLines="50" w:before="120" w:afterLines="50" w:after="120" w:line="312" w:lineRule="auto"/>
              <w:ind w:left="615"/>
              <w:rPr>
                <w:rFonts w:ascii="Times New Roman" w:hAnsi="Times New Roman"/>
                <w:szCs w:val="28"/>
              </w:rPr>
            </w:pPr>
            <w:r w:rsidRPr="00CC0CE5">
              <w:rPr>
                <w:rFonts w:ascii="Times New Roman" w:hAnsi="Times New Roman"/>
                <w:szCs w:val="28"/>
              </w:rPr>
              <w:t>Số: 02/2017/TT-BYT</w:t>
            </w:r>
          </w:p>
        </w:tc>
        <w:tc>
          <w:tcPr>
            <w:tcW w:w="6181" w:type="dxa"/>
            <w:gridSpan w:val="2"/>
          </w:tcPr>
          <w:p w:rsidR="00CC0CE5" w:rsidRPr="00CC0CE5" w:rsidRDefault="00CC0CE5" w:rsidP="002D1546">
            <w:pPr>
              <w:spacing w:beforeLines="50" w:before="120" w:afterLines="50" w:after="120" w:line="312" w:lineRule="auto"/>
              <w:rPr>
                <w:rFonts w:ascii="Times New Roman" w:hAnsi="Times New Roman"/>
                <w:i/>
                <w:szCs w:val="28"/>
              </w:rPr>
            </w:pPr>
            <w:r w:rsidRPr="00CC0CE5">
              <w:rPr>
                <w:rFonts w:ascii="Times New Roman" w:hAnsi="Times New Roman"/>
                <w:i/>
                <w:szCs w:val="28"/>
              </w:rPr>
              <w:t>Hà Nội, ngày 15 tháng 3 năm 2017</w:t>
            </w:r>
          </w:p>
        </w:tc>
      </w:tr>
    </w:tbl>
    <w:p w:rsidR="00CC0CE5" w:rsidRPr="00CC0CE5" w:rsidRDefault="00CC0CE5" w:rsidP="00CC0CE5">
      <w:pPr>
        <w:spacing w:beforeLines="50" w:before="120" w:afterLines="50" w:after="120" w:line="312" w:lineRule="auto"/>
        <w:rPr>
          <w:rFonts w:ascii="Times New Roman" w:hAnsi="Times New Roman"/>
          <w:szCs w:val="28"/>
        </w:rPr>
      </w:pPr>
    </w:p>
    <w:p w:rsidR="00CC0CE5" w:rsidRPr="00CC0CE5" w:rsidRDefault="00CC0CE5" w:rsidP="00CC0CE5">
      <w:pPr>
        <w:spacing w:beforeLines="50" w:before="120" w:afterLines="50" w:after="120" w:line="312" w:lineRule="auto"/>
        <w:jc w:val="center"/>
        <w:rPr>
          <w:rFonts w:ascii="Times New Roman" w:hAnsi="Times New Roman"/>
          <w:b/>
          <w:szCs w:val="28"/>
        </w:rPr>
      </w:pPr>
      <w:bookmarkStart w:id="1" w:name="loai_1"/>
      <w:r w:rsidRPr="00CC0CE5">
        <w:rPr>
          <w:rFonts w:ascii="Times New Roman" w:hAnsi="Times New Roman"/>
          <w:b/>
          <w:szCs w:val="28"/>
        </w:rPr>
        <w:t>THÔNG TƯ</w:t>
      </w:r>
      <w:bookmarkEnd w:id="1"/>
    </w:p>
    <w:p w:rsidR="00CC0CE5" w:rsidRPr="00CC0CE5" w:rsidRDefault="00CC0CE5" w:rsidP="00CC0CE5">
      <w:pPr>
        <w:spacing w:beforeLines="50" w:before="120" w:afterLines="50" w:after="120" w:line="312" w:lineRule="auto"/>
        <w:jc w:val="center"/>
        <w:rPr>
          <w:rFonts w:ascii="Times New Roman" w:hAnsi="Times New Roman"/>
          <w:szCs w:val="28"/>
        </w:rPr>
      </w:pPr>
      <w:bookmarkStart w:id="2" w:name="loai_1_name"/>
      <w:r w:rsidRPr="00CC0CE5">
        <w:rPr>
          <w:rFonts w:ascii="Times New Roman" w:hAnsi="Times New Roman"/>
          <w:szCs w:val="28"/>
        </w:rPr>
        <w:t>QUY ĐỊNH MỨC TỐI ĐA KHUNG GIÁ DỊCH VỤ KHÁM BỆNH, CHỮA BỆNH KHÔNG THUỘC PHẠM VI THANH TOÁN CỦA QUỸ BẢO HIỂM Y TẾ TRONG CÁC CƠ SỞ KHÁM BỆNH, CHỮA BỆNH CỦA NHÀ NƯỚC VÀ HƯỚNG DẪN ÁP DỤNG GIÁ, THANH TOÁN CHI PHÍ KHÁM BỆNH CHỮA BỆNH TRONG MỘT SỐ TRƯỜNG HỢP</w:t>
      </w:r>
      <w:bookmarkEnd w:id="2"/>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Căn cứ Luật khám bệnh, chữa bệnh số 40/2009/QH12 ngày 23 tháng 11 năm 2009;</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Căn cứ Luật giá số 12/2012/QH13 ngày 20 tháng 6 năm 2012;</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Căn cứ Luật tổ chức chính quyền địa phương số 77/2015/QH13 ngày 19 tháng 6 năm 2015;</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Căn cứ Nghị định số 85/2012/NĐ-CP ngày 15 tháng 10 năm 2012 của Chính phủ về cơ chế hoạt động, cơ chế tài chính đối với các đơn vị sự nghiệp y tế công lập và giá dịch vụ khám bệnh, chữa bệnh của các cơ sở khám bệnh, chữa bệnh công lập;</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Căn cứ Nghị định số 16/2015/NĐ-CP ngày 14 tháng 02 năm 2015 của Chính phủ quy định cơ chế tự chủ của đơn vị sự nghiệp công lập;</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Căn cứ Nghị định số 63/2012/NĐ-CP ngày 31 tháng 8 năm 2012 của Chính phủ quy định chức năng, nhiệm vụ, quyền hạn và cơ cấu tổ chức của Bộ Y tế;</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Trên cơ sở ý kiến của Bộ Tài chính tại Công văn số 15692/BTC-QLG ngày 03 tháng 11 năm 2016;</w:t>
      </w:r>
    </w:p>
    <w:p w:rsidR="00CC0CE5" w:rsidRPr="00CC0CE5" w:rsidRDefault="00CC0CE5" w:rsidP="00CC0CE5">
      <w:pPr>
        <w:spacing w:beforeLines="50" w:before="120" w:afterLines="50" w:after="120" w:line="312" w:lineRule="auto"/>
        <w:jc w:val="both"/>
        <w:rPr>
          <w:rFonts w:ascii="Times New Roman" w:hAnsi="Times New Roman"/>
          <w:i/>
          <w:szCs w:val="28"/>
        </w:rPr>
      </w:pPr>
      <w:r w:rsidRPr="00CC0CE5">
        <w:rPr>
          <w:rFonts w:ascii="Times New Roman" w:hAnsi="Times New Roman"/>
          <w:i/>
          <w:szCs w:val="28"/>
        </w:rPr>
        <w:t xml:space="preserve">Bộ trưởng Bộ Y tế ban hành Thông tư quy định mức tối đa khung giá dịch vụ khám bệnh, chữa bệnh không thuộc phạm vi thanh toán của Quỹ bảo hiểm y tế trong </w:t>
      </w:r>
      <w:r w:rsidRPr="00CC0CE5">
        <w:rPr>
          <w:rFonts w:ascii="Times New Roman" w:hAnsi="Times New Roman"/>
          <w:i/>
          <w:szCs w:val="28"/>
        </w:rPr>
        <w:lastRenderedPageBreak/>
        <w:t>các cơ sở khám bệnh, chữa bệnh của Nhà nước và hướng dẫn áp dụng giá, thanh toán chi phí khám bệnh chữa bệnh trong một số trường hợp.</w:t>
      </w:r>
    </w:p>
    <w:p w:rsidR="00CC0CE5" w:rsidRPr="00CC0CE5" w:rsidRDefault="00CC0CE5" w:rsidP="00CC0CE5">
      <w:pPr>
        <w:spacing w:beforeLines="50" w:before="120" w:afterLines="50" w:after="120" w:line="312" w:lineRule="auto"/>
        <w:jc w:val="both"/>
        <w:rPr>
          <w:rFonts w:ascii="Times New Roman" w:hAnsi="Times New Roman"/>
          <w:b/>
          <w:szCs w:val="28"/>
        </w:rPr>
      </w:pPr>
      <w:bookmarkStart w:id="3" w:name="dieu_1"/>
      <w:r w:rsidRPr="00CC0CE5">
        <w:rPr>
          <w:rFonts w:ascii="Times New Roman" w:hAnsi="Times New Roman"/>
          <w:b/>
          <w:szCs w:val="28"/>
        </w:rPr>
        <w:t>Điều 1. Phạm vi điều chỉnh và đối tượng áp dụng</w:t>
      </w:r>
      <w:bookmarkEnd w:id="3"/>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1. Phạm vi điều chỉnh: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Thông tư này quy định mức tối đa khung giá dịch vụ khám bệnh, chữa bệnh không thuộc phạm vi thanh toán của Quỹ bảo hiểm y tế trong các cơ sở khám bệnh, chữa bệnh của Nhà nước và</w:t>
      </w:r>
      <w:r w:rsidRPr="00CC0CE5">
        <w:rPr>
          <w:rFonts w:ascii="Times New Roman" w:hAnsi="Times New Roman" w:cs="Times New Roman"/>
          <w:bCs/>
          <w:iCs/>
          <w:szCs w:val="28"/>
        </w:rPr>
        <w:t xml:space="preserve"> hướng dẫn áp dụng giá, thanh toán chi phí khám bệnh, chữa bệnh trong một số trường hợp.</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2. Đối tượng áp dụng:</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Các cơ sở khám bệnh, chữa bệnh của Nhà nước; người bệnh chưa tham gia bảo hiểm y tế; người bệnh có thẻ bảo hiểm y tế nhưng đi khám bệnh, chữa bệnh hoặc sử dụng các dịch vụ khám bệnh, chữa bệnh không thuộc phạm vi thanh toán của Quỹ bảo hiểm y tế; các cơ quan, tổ chức, cá nhân khác có liên quan.</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3. Người bệnh có thẻ bảo hiểm y tế đi khám bệnh, chữa bệnh theo quy định của pháp luật về bảo hiểm y tế thì thực hiện theo mức giá dịch vụ khám bệnh, chữa bệnh bảo hiểm y tế quy định tại Thông tư liên tịch số 37/2015/TTLT-BYT-BTC ngày 29 tháng 10 năm 2015 của Bộ Y tế và Bộ Tài chính quy định thống nhất giá dịch vụ khám bệnh, chữa bệnh bảo hiểm y tế giữa các bệnh viện cùng hạng trên toàn quốc.</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4. Thông tư này không áp dụng đối với các dịch vụ khám bệnh, chữa bệnh trong các trường hợp sau đây: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xml:space="preserve">a) Đơn vị góp vốn, huy động vốn, liên doanh, liên kết theo quy định tại </w:t>
      </w:r>
      <w:bookmarkStart w:id="4" w:name="dc_1"/>
      <w:r w:rsidRPr="00CC0CE5">
        <w:rPr>
          <w:rFonts w:ascii="Times New Roman" w:hAnsi="Times New Roman" w:cs="Times New Roman"/>
          <w:szCs w:val="28"/>
          <w:lang w:val="es-ES"/>
        </w:rPr>
        <w:t>Điều 6 Nghị định số 85/2012/NĐ-CP</w:t>
      </w:r>
      <w:bookmarkEnd w:id="4"/>
      <w:r w:rsidRPr="00CC0CE5">
        <w:rPr>
          <w:rFonts w:ascii="Times New Roman" w:hAnsi="Times New Roman" w:cs="Times New Roman"/>
          <w:szCs w:val="28"/>
          <w:lang w:val="es-ES"/>
        </w:rPr>
        <w:t xml:space="preserve"> ngày 12 tháng 10 năm 2012 của Chính phủ về cơ chế hoạt động, cơ chế tài chính đối với các đơn vị sự nghiệp y tế công lập và giá dịch vụ khám bệnh, chữa bệnh của các cơ sở khám bệnh, chữa bệnh công lập và thực hiện giá dịch vụ theo nguyên tắc bảo đảm đủ bù đắp chi phí và có tích lũy;</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b) Cơ sở khám bệnh, chữa bệnh hoạt động theo mô hình doanh nghiệp do đơn vị sự nghiệp công vay vốn để đầu tư, hợp tác đầu tư theo Nghị quyết số 93/NQ-CP ngày 15 tháng 12 năm 2014 của Chính phủ về một số cơ chế, chính sách phát triển y tế;</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rPr>
        <w:t>c) Cơ sở khám bệnh, chữa bệnh đầu tư theo hình thức đối tác công tư theo Nghị định số 15/2015/NĐ-CP ngày 14 tháng 02 năm 2015 của Chính phủ về đầu tư theo hình thức đối tác công tư.</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b/>
          <w:szCs w:val="28"/>
          <w:lang w:val="es-ES"/>
        </w:rPr>
      </w:pPr>
      <w:bookmarkStart w:id="5" w:name="dieu_2"/>
      <w:r w:rsidRPr="00CC0CE5">
        <w:rPr>
          <w:rFonts w:ascii="Times New Roman" w:hAnsi="Times New Roman" w:cs="Times New Roman"/>
          <w:b/>
          <w:szCs w:val="28"/>
          <w:lang w:val="es-ES"/>
        </w:rPr>
        <w:t>Điều 2. Mức tối đa khung giá dịch vụ khám bệnh, chữa bệnh</w:t>
      </w:r>
      <w:bookmarkEnd w:id="5"/>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1. Mức tối đa khung giá dịch vụ khám bệnh, chữa bệnh bao gồm:</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a) Mức tối đa khung giá dịch vụ khám bệnh, kiểm tra sức khỏe quy định tại Phụ lục I ban hành kèm theo Thông tư này;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b) Mức tối đa khung giá dịch vụ ngày giường điều trị quy định tại Phụ lục II ban hành kèm theo Thông tư này;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c) Mức tối đa khung giá dịch vụ kỹ thuật, xét nghiệm quy định tại Phụ lục III ban hành kèm theo Thông tư này.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2. Mức tối đa khung giá quy định tại Thông tư này gồm các chi phí sau:</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a) Chi phí trực tiếp:</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Chi phí về: thuốc, dịch truyền, hóa chất, vật tư tiêu hao, vật tư thay thế để thực hiện các dịch vụ khám bệnh, chữa bệnh. Riêng đối với một số loại thuốc, dịch truyền, hóa chất, vật tư tiêu hao, vật tư thay thế chưa được tính vào giá dịch vụ khám bệnh, chữa bệnh quy định tại Phụ lục II, Phụ lục III ban hành kèm theo Thông tư này và máu, chế phẩm máu: thanh toán theo số lượng thực tế sử dụng cho người bệnh và giá mua theo quy định của pháp luật;</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Chi phí về điện, nước, nhiên liệu, xử lý chất thải, vệ sinh môi trường;</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Chi phí duy tu, bảo dưỡng thiết bị, mua thay thế công cụ, dụng cụ.</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b) Chi phí tiền lương, gồm:</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Tiền lương ngạch bậc, chức vụ, các khoản phụ cấp, các khoản đóng góp theo chế độ do Nhà nước quy định đối với đơn vị sự nghiệp công lập; trừ các khoản chi theo chế độ quy định tại Khoản 3 Điều này;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Phụ cấp thường trực, phụ cấp phẫu thuật, thủ thuật (sau đây gọi tắt là phụ cấp đặc thù) theo quy định tại Quyết định số 73/2011/QĐ-TTg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3. Chi phí tiền lương trong mức tối đa khung giá dịch vụ khám bệnh, chữa bệnh quy định tại Khoản 1 Điều này không bao gồm các khoản chi theo chế độ do ngân sách nhà nước bảo đảm quy định tại các văn bản sau đây: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a) Nghị định số 64/2009/NĐ-CP ngày 30 tháng 7 năm 2009</w:t>
      </w:r>
      <w:r w:rsidRPr="00CC0CE5">
        <w:rPr>
          <w:rFonts w:ascii="Times New Roman" w:hAnsi="Times New Roman" w:cs="Times New Roman"/>
          <w:bCs/>
          <w:szCs w:val="28"/>
          <w:lang w:val="es-ES"/>
        </w:rPr>
        <w:t xml:space="preserve"> của Chính phủ về chính sách đối với cán bộ, viên chức y tế công tác ở vùng có điều kiện kinh tế - xã hội đặc biệt khó khăn</w:t>
      </w:r>
      <w:r w:rsidRPr="00CC0CE5">
        <w:rPr>
          <w:rFonts w:ascii="Times New Roman" w:hAnsi="Times New Roman" w:cs="Times New Roman"/>
          <w:szCs w:val="28"/>
          <w:lang w:val="es-ES"/>
        </w:rPr>
        <w:t>;</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b) Nghị định số 116/2010/NĐ-CP ngày 24 tháng 12 năm 2010 của Chính phủ về chính sách đối với cán bộ, công chức, viên chức và người hưởng lương thuộc lực lượng vũ trang công tác ở vùng có điều kiện kinh tế - xã hội đặc biệt khó khăn;</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rPr>
      </w:pPr>
      <w:r w:rsidRPr="00CC0CE5">
        <w:rPr>
          <w:rFonts w:ascii="Times New Roman" w:hAnsi="Times New Roman" w:cs="Times New Roman"/>
          <w:szCs w:val="28"/>
          <w:lang w:val="es-ES"/>
        </w:rPr>
        <w:t>c)</w:t>
      </w:r>
      <w:r w:rsidRPr="00CC0CE5">
        <w:rPr>
          <w:rFonts w:ascii="Times New Roman" w:hAnsi="Times New Roman" w:cs="Times New Roman"/>
          <w:szCs w:val="28"/>
        </w:rPr>
        <w:t xml:space="preserve"> Quyết định số 46/2009/QĐ-TTg ngày 31 tháng 3 năm 2009 của Thủ tướng Chính phủ quy định chế độ phụ cấp đặc thù đối với cán bộ, viên chức công tác tại Bệnh viện Hữu Nghị, Bệnh viện Thống Nhất, Bệnh viện C Đà Nẵng thuộc Bộ Y tế, các Phòng Bảo vệ sức khỏe Trung ương 1, 2, 2B, 3 và 5, Khoa A11 Bệnh viện Trung ương Quân đội 108 và Khoa A11 Viện Y học cổ truyền Quân đội (sau đây gọi tắt là Quyết định số 46/2009/QĐ-TTg) và Quyết định số 20/2015/QĐ-TTg ngày 18 tháng 6 năm 2015 của Thủ tướng Chính phủ về việc</w:t>
      </w:r>
      <w:r w:rsidRPr="00CC0CE5">
        <w:rPr>
          <w:rFonts w:ascii="Times New Roman" w:hAnsi="Times New Roman" w:cs="Times New Roman"/>
          <w:szCs w:val="28"/>
          <w:lang w:val="es-ES"/>
        </w:rPr>
        <w:t xml:space="preserve"> </w:t>
      </w:r>
      <w:r w:rsidRPr="00CC0CE5">
        <w:rPr>
          <w:rFonts w:ascii="Times New Roman" w:hAnsi="Times New Roman" w:cs="Times New Roman"/>
          <w:szCs w:val="28"/>
        </w:rPr>
        <w:t>sửa đổi, bổ sung một số điều của Quyết định số 46/2009/QĐ-TT</w:t>
      </w:r>
      <w:r w:rsidRPr="00CC0CE5">
        <w:rPr>
          <w:rFonts w:ascii="Times New Roman" w:hAnsi="Times New Roman" w:cs="Times New Roman"/>
          <w:szCs w:val="28"/>
          <w:lang w:val="es-ES"/>
        </w:rPr>
        <w:t>g;</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 xml:space="preserve">d) </w:t>
      </w:r>
      <w:bookmarkStart w:id="6" w:name="dc_2"/>
      <w:r w:rsidRPr="00CC0CE5">
        <w:rPr>
          <w:rFonts w:ascii="Times New Roman" w:hAnsi="Times New Roman" w:cs="Times New Roman"/>
          <w:szCs w:val="28"/>
          <w:lang w:val="es-ES"/>
        </w:rPr>
        <w:t>Điểm a khoản 8 Điều 6 Nghị định số </w:t>
      </w:r>
      <w:hyperlink r:id="rId4" w:tgtFrame="_blank" w:history="1">
        <w:r w:rsidRPr="00CC0CE5">
          <w:rPr>
            <w:rFonts w:ascii="Times New Roman" w:hAnsi="Times New Roman" w:cs="Times New Roman"/>
            <w:szCs w:val="28"/>
            <w:lang w:val="es-ES"/>
          </w:rPr>
          <w:t>204/2004/NĐ-CP</w:t>
        </w:r>
      </w:hyperlink>
      <w:bookmarkEnd w:id="6"/>
      <w:r w:rsidRPr="00CC0CE5">
        <w:rPr>
          <w:rFonts w:ascii="Times New Roman" w:hAnsi="Times New Roman" w:cs="Times New Roman"/>
          <w:szCs w:val="28"/>
          <w:lang w:val="es-ES"/>
        </w:rPr>
        <w:t> ngày 14 tháng 12 năm 2004 của Chính phủ về chế độ tiền lương đối với cán bộ, công chức, viên chức và lực lượng vũ trang và Nghị định số 76/2009/NĐ-CP ngày 15 tháng 9 năm 2009 của Chính phủ về sửa đổi bổ sung một số điều của Nghị định số </w:t>
      </w:r>
      <w:hyperlink r:id="rId5" w:tgtFrame="_blank" w:history="1">
        <w:r w:rsidRPr="00CC0CE5">
          <w:rPr>
            <w:rFonts w:ascii="Times New Roman" w:hAnsi="Times New Roman" w:cs="Times New Roman"/>
            <w:szCs w:val="28"/>
            <w:lang w:val="es-ES"/>
          </w:rPr>
          <w:t>204/2004/NĐ-CP</w:t>
        </w:r>
      </w:hyperlink>
      <w:r w:rsidRPr="00CC0CE5">
        <w:rPr>
          <w:rFonts w:ascii="Times New Roman" w:hAnsi="Times New Roman" w:cs="Times New Roman"/>
          <w:szCs w:val="28"/>
          <w:lang w:val="es-ES"/>
        </w:rPr>
        <w:t xml:space="preserve"> ngày 14 tháng 12 năm 2004 của Chính phủ về chế độ tiền lương đối với cán bộ, công chức, viên chức và lực lượng vũ trang.</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b/>
          <w:szCs w:val="28"/>
          <w:lang w:val="es-ES"/>
        </w:rPr>
      </w:pPr>
      <w:bookmarkStart w:id="7" w:name="dieu_3"/>
      <w:r w:rsidRPr="00CC0CE5">
        <w:rPr>
          <w:rFonts w:ascii="Times New Roman" w:hAnsi="Times New Roman" w:cs="Times New Roman"/>
          <w:b/>
          <w:szCs w:val="28"/>
          <w:lang w:val="es-ES"/>
        </w:rPr>
        <w:t>Điều 3. Nguyên tắc và thẩm quyền quyết định giá dịch vụ khám bệnh, chữa bệnh</w:t>
      </w:r>
      <w:bookmarkEnd w:id="7"/>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1. Cơ quan có thẩm quyền quy định tại khoản 2, khoản 3 Điều này quyết định mức giá cụ thể của các dịch vụ khám bệnh, chữa bệnh đối với các cơ sở khám bệnh, chữa bệnh thuộc phạm vi quản lý không được vượt quá mức tối đa khung giá của các dịch vụ khám bệnh, chữa bệnh quy định tại Thông tư này.</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 xml:space="preserve">2. </w:t>
      </w:r>
      <w:r w:rsidRPr="00CC0CE5">
        <w:rPr>
          <w:rFonts w:ascii="Times New Roman" w:hAnsi="Times New Roman"/>
          <w:szCs w:val="28"/>
          <w:lang w:val="vi-VN"/>
        </w:rPr>
        <w:t xml:space="preserve">Hội đồng nhân dân cấp tỉnh </w:t>
      </w:r>
      <w:r w:rsidRPr="00CC0CE5">
        <w:rPr>
          <w:rFonts w:ascii="Times New Roman" w:hAnsi="Times New Roman"/>
          <w:szCs w:val="28"/>
          <w:lang w:val="es-ES"/>
        </w:rPr>
        <w:t xml:space="preserve">quyết định mức giá cụ thể đối với dịch vụ khám bệnh, chữa bệnh thực hiện tại </w:t>
      </w:r>
      <w:r w:rsidRPr="00CC0CE5">
        <w:rPr>
          <w:rFonts w:ascii="Times New Roman" w:hAnsi="Times New Roman"/>
          <w:szCs w:val="28"/>
          <w:lang w:val="vi-VN"/>
        </w:rPr>
        <w:t>các cơ sở khám</w:t>
      </w:r>
      <w:r w:rsidRPr="00CC0CE5">
        <w:rPr>
          <w:rFonts w:ascii="Times New Roman" w:hAnsi="Times New Roman"/>
          <w:szCs w:val="28"/>
          <w:lang w:val="es-ES"/>
        </w:rPr>
        <w:t xml:space="preserve"> bệnh</w:t>
      </w:r>
      <w:r w:rsidRPr="00CC0CE5">
        <w:rPr>
          <w:rFonts w:ascii="Times New Roman" w:hAnsi="Times New Roman"/>
          <w:szCs w:val="28"/>
          <w:lang w:val="vi-VN"/>
        </w:rPr>
        <w:t>, chữa bệnh thuộc địa phương quản lý</w:t>
      </w:r>
      <w:r w:rsidRPr="00CC0CE5">
        <w:rPr>
          <w:rFonts w:ascii="Times New Roman" w:hAnsi="Times New Roman"/>
          <w:szCs w:val="28"/>
          <w:lang w:val="es-ES"/>
        </w:rPr>
        <w:t xml:space="preserve"> và quyết định mức giá cụ thể hoặc thực hiện áp giá dịch vụ khám bệnh, chữa bệnh đối với một số trường hợp theo nguyên tắc sau:</w:t>
      </w:r>
    </w:p>
    <w:p w:rsidR="00CC0CE5" w:rsidRPr="00CC0CE5" w:rsidRDefault="00CC0CE5" w:rsidP="00CC0CE5">
      <w:pPr>
        <w:spacing w:beforeLines="50" w:before="120" w:afterLines="50" w:after="120" w:line="312" w:lineRule="auto"/>
        <w:jc w:val="both"/>
        <w:rPr>
          <w:rFonts w:ascii="Times New Roman" w:hAnsi="Times New Roman"/>
          <w:szCs w:val="28"/>
          <w:lang w:val="nl-NL"/>
        </w:rPr>
      </w:pPr>
      <w:r w:rsidRPr="00CC0CE5">
        <w:rPr>
          <w:rFonts w:ascii="Times New Roman" w:hAnsi="Times New Roman"/>
          <w:szCs w:val="28"/>
          <w:lang w:val="nl-NL"/>
        </w:rPr>
        <w:t>a) Các viện có giường bệnh, trung tâm y tế tuyến tỉnh có chức năng khám bệnh, chữa bệnh; trung tâm y tế huyện thực hiện cả hai chức năng phòng bệnh và khám bệnh, chữa bệnh đã được xếp hạng: áp dụng mức giá của bệnh viện hạng tương đương;</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b) Các cơ sở khám, chữa bệnh chưa được phân hạng: áp dụng mức giá của bệnh viện hạng IV;</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c) Phòng khám bác sĩ gia đình, y tế cơ quan, đơn vị, tổ chức, trường học: áp dụng mức giá của trạm y tế xã, phường, thị trấn.</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es-ES"/>
        </w:rPr>
        <w:t xml:space="preserve">3. Bộ trưởng Bộ Y tế quyết định mức giá cụ thể đối với dịch vụ khám bệnh, chữa bệnh thực hiện tại các cơ sở khám bệnh, chữa bệnh trực thuộc Bộ Y tế và các bệnh viện hạng đặc biệt, bệnh viện hạng I thuộc các Bộ, cơ quan ngang Bộ, cơ quan thuộc Chính phủ. </w:t>
      </w:r>
      <w:r w:rsidRPr="00CC0CE5">
        <w:rPr>
          <w:rFonts w:ascii="Times New Roman" w:hAnsi="Times New Roman"/>
          <w:szCs w:val="28"/>
          <w:lang w:val="pt-BR"/>
        </w:rPr>
        <w:t>Đối với các cơ sở y tế do các Bộ, cơ quan ngang Bộ, cơ quan thuộc Chính phủ còn lại thực hiện việc áp giá dịch vụ khám bệnh, chữa bệnh như sau:</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a) Đối với trạm y tế cơ quan, đơn vị, tổ chức, trạm y tế quân dân y, phòng khám quân dân y: Áp dụng giá dịch vụ khám bệnh, chữa bệnh quy định đối với trạm y tế xã, phường, thị trấn của địa phương.</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b) Đối với bệnh xá quân dân y: Áp dụng giá dịch vụ khám bệnh, chữa bệnh đối với phòng khám đa khoa khu vực của địa phương.</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c) Đối với các bệnh viện hạng II, III, IV (bao gồm cả bệnh viện quân dân y): Áp dụng giá dịch vụ đối với cơ sở khám bệnh, chữa bệnh cùng hạng của địa phương.</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d) Đối với các cơ sở khám bệnh, chữa bệnh còn lại khác: Áp dụng giá dịch vụ đối với cơ sở khám bệnh, chữa bệnh hạng IV của địa phương.</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pt-BR"/>
        </w:rPr>
        <w:t xml:space="preserve">4. </w:t>
      </w:r>
      <w:r w:rsidRPr="00CC0CE5">
        <w:rPr>
          <w:rFonts w:ascii="Times New Roman" w:hAnsi="Times New Roman"/>
          <w:szCs w:val="28"/>
          <w:lang w:val="es-ES"/>
        </w:rPr>
        <w:t>T</w:t>
      </w:r>
      <w:r w:rsidRPr="00CC0CE5">
        <w:rPr>
          <w:rFonts w:ascii="Times New Roman" w:hAnsi="Times New Roman"/>
          <w:szCs w:val="28"/>
          <w:lang w:val="vi-VN"/>
        </w:rPr>
        <w:t>rường hợp cơ sở khám</w:t>
      </w:r>
      <w:r w:rsidRPr="00CC0CE5">
        <w:rPr>
          <w:rFonts w:ascii="Times New Roman" w:hAnsi="Times New Roman"/>
          <w:szCs w:val="28"/>
          <w:lang w:val="es-ES"/>
        </w:rPr>
        <w:t xml:space="preserve"> bệnh</w:t>
      </w:r>
      <w:r w:rsidRPr="00CC0CE5">
        <w:rPr>
          <w:rFonts w:ascii="Times New Roman" w:hAnsi="Times New Roman"/>
          <w:szCs w:val="28"/>
          <w:lang w:val="vi-VN"/>
        </w:rPr>
        <w:t xml:space="preserve">, chữa bệnh </w:t>
      </w:r>
      <w:r w:rsidRPr="00CC0CE5">
        <w:rPr>
          <w:rFonts w:ascii="Times New Roman" w:hAnsi="Times New Roman"/>
          <w:szCs w:val="28"/>
          <w:lang w:val="es-ES"/>
        </w:rPr>
        <w:t xml:space="preserve">thuộc các Bộ, cơ quan ngang Bộ, cơ quan thuộc Chính phủ </w:t>
      </w:r>
      <w:r w:rsidRPr="00CC0CE5">
        <w:rPr>
          <w:rFonts w:ascii="Times New Roman" w:hAnsi="Times New Roman"/>
          <w:szCs w:val="28"/>
          <w:lang w:val="vi-VN"/>
        </w:rPr>
        <w:t xml:space="preserve">thực hiện các dịch vụ kỹ thuật </w:t>
      </w:r>
      <w:r w:rsidRPr="00CC0CE5">
        <w:rPr>
          <w:rFonts w:ascii="Times New Roman" w:hAnsi="Times New Roman"/>
          <w:szCs w:val="28"/>
          <w:lang w:val="es-ES"/>
        </w:rPr>
        <w:t xml:space="preserve">chưa có trong </w:t>
      </w:r>
      <w:r w:rsidRPr="00CC0CE5">
        <w:rPr>
          <w:rFonts w:ascii="Times New Roman" w:hAnsi="Times New Roman"/>
          <w:szCs w:val="28"/>
          <w:lang w:val="vi-VN"/>
        </w:rPr>
        <w:t xml:space="preserve">quy định giá </w:t>
      </w:r>
      <w:r w:rsidRPr="00CC0CE5">
        <w:rPr>
          <w:rFonts w:ascii="Times New Roman" w:hAnsi="Times New Roman"/>
          <w:szCs w:val="28"/>
          <w:lang w:val="es-ES"/>
        </w:rPr>
        <w:t xml:space="preserve">dịch vụ khám bệnh, chữa bệnh của địa phương </w:t>
      </w:r>
      <w:r w:rsidRPr="00CC0CE5">
        <w:rPr>
          <w:rFonts w:ascii="Times New Roman" w:hAnsi="Times New Roman"/>
          <w:szCs w:val="28"/>
          <w:lang w:val="vi-VN"/>
        </w:rPr>
        <w:t>thì cơ sở khám</w:t>
      </w:r>
      <w:r w:rsidRPr="00CC0CE5">
        <w:rPr>
          <w:rFonts w:ascii="Times New Roman" w:hAnsi="Times New Roman"/>
          <w:szCs w:val="28"/>
          <w:lang w:val="es-ES"/>
        </w:rPr>
        <w:t xml:space="preserve"> bệnh</w:t>
      </w:r>
      <w:r w:rsidRPr="00CC0CE5">
        <w:rPr>
          <w:rFonts w:ascii="Times New Roman" w:hAnsi="Times New Roman"/>
          <w:szCs w:val="28"/>
          <w:lang w:val="vi-VN"/>
        </w:rPr>
        <w:t xml:space="preserve">, chữa bệnh </w:t>
      </w:r>
      <w:r w:rsidRPr="00CC0CE5">
        <w:rPr>
          <w:rFonts w:ascii="Times New Roman" w:hAnsi="Times New Roman"/>
          <w:szCs w:val="28"/>
          <w:lang w:val="es-ES"/>
        </w:rPr>
        <w:t>phải thực hiện</w:t>
      </w:r>
      <w:r w:rsidRPr="00CC0CE5">
        <w:rPr>
          <w:rFonts w:ascii="Times New Roman" w:hAnsi="Times New Roman"/>
          <w:szCs w:val="28"/>
          <w:lang w:val="vi-VN"/>
        </w:rPr>
        <w:t xml:space="preserve"> xây dựng </w:t>
      </w:r>
      <w:r w:rsidRPr="00CC0CE5">
        <w:rPr>
          <w:rFonts w:ascii="Times New Roman" w:hAnsi="Times New Roman"/>
          <w:szCs w:val="28"/>
          <w:lang w:val="es-ES"/>
        </w:rPr>
        <w:t xml:space="preserve">phương án </w:t>
      </w:r>
      <w:r w:rsidRPr="00CC0CE5">
        <w:rPr>
          <w:rFonts w:ascii="Times New Roman" w:hAnsi="Times New Roman"/>
          <w:szCs w:val="28"/>
          <w:lang w:val="vi-VN"/>
        </w:rPr>
        <w:t xml:space="preserve">giá </w:t>
      </w:r>
      <w:r w:rsidRPr="00CC0CE5">
        <w:rPr>
          <w:rFonts w:ascii="Times New Roman" w:hAnsi="Times New Roman"/>
          <w:szCs w:val="28"/>
          <w:lang w:val="es-ES"/>
        </w:rPr>
        <w:t xml:space="preserve">và </w:t>
      </w:r>
      <w:r w:rsidRPr="00CC0CE5">
        <w:rPr>
          <w:rFonts w:ascii="Times New Roman" w:hAnsi="Times New Roman"/>
          <w:szCs w:val="28"/>
          <w:lang w:val="vi-VN"/>
        </w:rPr>
        <w:t>báo cáo Bộ Y tế xem xét, quyết định.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pt-BR"/>
        </w:rPr>
        <w:t>5. Đối với</w:t>
      </w:r>
      <w:r w:rsidRPr="00CC0CE5">
        <w:rPr>
          <w:rFonts w:ascii="Times New Roman" w:hAnsi="Times New Roman" w:cs="Times New Roman"/>
          <w:szCs w:val="28"/>
          <w:lang w:val="es-ES"/>
        </w:rPr>
        <w:t xml:space="preserve"> dịch vụ kỹ thuật mới theo quy định tại </w:t>
      </w:r>
      <w:bookmarkStart w:id="8" w:name="dc_3"/>
      <w:r w:rsidRPr="00CC0CE5">
        <w:rPr>
          <w:rFonts w:ascii="Times New Roman" w:hAnsi="Times New Roman" w:cs="Times New Roman"/>
          <w:szCs w:val="28"/>
          <w:lang w:val="es-ES"/>
        </w:rPr>
        <w:t>khoản 1, khoản 2 Điều 69 của Luật khám bệnh, chữa bệnh</w:t>
      </w:r>
      <w:bookmarkEnd w:id="8"/>
      <w:r w:rsidRPr="00CC0CE5">
        <w:rPr>
          <w:rFonts w:ascii="Times New Roman" w:hAnsi="Times New Roman" w:cs="Times New Roman"/>
          <w:szCs w:val="28"/>
          <w:lang w:val="es-ES"/>
        </w:rPr>
        <w:t xml:space="preserve"> và các dịch vụ kỹ thuật còn lại khác (trừ các dịch vụ đã được Bộ Y tế xếp tương đương về kỹ thuật và chi phí thực hiện) chưa được quy định mức tối đa khung giá:</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a) Cơ sở khám bệnh, chữa bệnh xây dựng và đề xuất mức giá trình cơ quan có thẩm quyền quy định tại Điều 3 Thông tư này tạm thời quyết định mức giá;</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b) Định kỳ 6 tháng (vào ngày 30/6 và ngày 31/12 hằng năm) các đơn vị, địa phương tổng hợp báo cáo về Bộ Y tế để xem xét, quy định bổ sung mức tối đa khung giá sau khi có ý kiến thống nhất của Bộ Tài chính.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es-ES"/>
        </w:rPr>
        <w:t>c) Trình tự và hồ sơ phương án giá thực hiện theo quy định của pháp luật về giá.</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bookmarkStart w:id="9" w:name="dieu_4"/>
      <w:r w:rsidRPr="00CC0CE5">
        <w:rPr>
          <w:rFonts w:ascii="Times New Roman" w:hAnsi="Times New Roman" w:cs="Times New Roman"/>
          <w:b/>
          <w:szCs w:val="28"/>
          <w:lang w:val="es-ES"/>
        </w:rPr>
        <w:t>Điều 4. Hướng dẫn thực hiện giá khám bệnh</w:t>
      </w:r>
      <w:bookmarkEnd w:id="9"/>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es-ES"/>
        </w:rPr>
        <w:t xml:space="preserve">1. </w:t>
      </w:r>
      <w:r w:rsidRPr="00CC0CE5">
        <w:rPr>
          <w:rFonts w:ascii="Times New Roman" w:hAnsi="Times New Roman" w:cs="Times New Roman"/>
          <w:szCs w:val="28"/>
        </w:rPr>
        <w:t>C</w:t>
      </w:r>
      <w:r w:rsidRPr="00CC0CE5">
        <w:rPr>
          <w:rFonts w:ascii="Times New Roman" w:hAnsi="Times New Roman" w:cs="Times New Roman"/>
          <w:szCs w:val="28"/>
          <w:lang w:val="vi-VN"/>
        </w:rPr>
        <w:t xml:space="preserve">ác chi phí trực tiếp cần thiết cho việc </w:t>
      </w:r>
      <w:r w:rsidRPr="00CC0CE5">
        <w:rPr>
          <w:rFonts w:ascii="Times New Roman" w:hAnsi="Times New Roman" w:cs="Times New Roman"/>
          <w:szCs w:val="28"/>
        </w:rPr>
        <w:t xml:space="preserve">xác định giá </w:t>
      </w:r>
      <w:r w:rsidRPr="00CC0CE5">
        <w:rPr>
          <w:rFonts w:ascii="Times New Roman" w:hAnsi="Times New Roman" w:cs="Times New Roman"/>
          <w:szCs w:val="28"/>
          <w:lang w:val="vi-VN"/>
        </w:rPr>
        <w:t xml:space="preserve">khám bệnh </w:t>
      </w:r>
      <w:r w:rsidRPr="00CC0CE5">
        <w:rPr>
          <w:rFonts w:ascii="Times New Roman" w:hAnsi="Times New Roman" w:cs="Times New Roman"/>
          <w:szCs w:val="28"/>
        </w:rPr>
        <w:t>theo quy định tại điểm a khoản</w:t>
      </w:r>
      <w:r w:rsidRPr="00CC0CE5">
        <w:rPr>
          <w:rFonts w:ascii="Times New Roman" w:hAnsi="Times New Roman" w:cs="Times New Roman"/>
          <w:szCs w:val="28"/>
          <w:lang w:val="es-ES"/>
        </w:rPr>
        <w:t xml:space="preserve"> 2</w:t>
      </w:r>
      <w:r w:rsidRPr="00CC0CE5">
        <w:rPr>
          <w:rFonts w:ascii="Times New Roman" w:hAnsi="Times New Roman" w:cs="Times New Roman"/>
          <w:szCs w:val="28"/>
        </w:rPr>
        <w:t xml:space="preserve"> Điều 2 Thông tư</w:t>
      </w:r>
      <w:r w:rsidRPr="00CC0CE5">
        <w:rPr>
          <w:rFonts w:ascii="Times New Roman" w:hAnsi="Times New Roman" w:cs="Times New Roman"/>
          <w:szCs w:val="28"/>
          <w:lang w:val="vi-VN"/>
        </w:rPr>
        <w:t xml:space="preserve"> </w:t>
      </w:r>
      <w:r w:rsidRPr="00CC0CE5">
        <w:rPr>
          <w:rFonts w:ascii="Times New Roman" w:hAnsi="Times New Roman" w:cs="Times New Roman"/>
          <w:szCs w:val="28"/>
        </w:rPr>
        <w:t xml:space="preserve">này </w:t>
      </w:r>
      <w:r w:rsidRPr="00CC0CE5">
        <w:rPr>
          <w:rFonts w:ascii="Times New Roman" w:hAnsi="Times New Roman" w:cs="Times New Roman"/>
          <w:szCs w:val="28"/>
          <w:lang w:val="vi-VN"/>
        </w:rPr>
        <w:t>gồm:</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a) Chi phí về găng tay, mũ, khẩu trang, quần áo, ga, gối, đệm, chiếu, đồ vải dùng cho cán bộ y tế, người bệnh; văn phòng phẩm như giấy, bút, sổ, mực in, mực dấu, ghim, ấn chỉ chuyên môn và các văn phòng phẩm khác; vật tư tiêu hao thông dụng như bông, băng, cồn, gạc, bơm, kim tiêm, nước muối rửa và các vật tư tiêu hao khác phục vụ cho công tác khám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u w:val="single"/>
          <w:lang w:val="vi-VN"/>
        </w:rPr>
      </w:pPr>
      <w:r w:rsidRPr="00CC0CE5">
        <w:rPr>
          <w:rFonts w:ascii="Times New Roman" w:hAnsi="Times New Roman" w:cs="Times New Roman"/>
          <w:szCs w:val="28"/>
          <w:lang w:val="vi-VN"/>
        </w:rPr>
        <w:t>b) Chi phí về điện; nước; xử lý chất thải; giặt, là, hấp, sấy, rửa, tiệt trùng đồ vải, dụng cụ khám bệnh; chi phí vệ sinh, bảo đảm vệ sinh môi trường, khử khuẩn, chống nhiễm khuẩn khu vực khám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c) Chi phí duy tu, bảo dưỡng, mua sắm thay thế các tài sản, công cụ, dụng cụ như: điều hòa, máy tính, máy in, máy hút ẩm, quạt, hệ thống lấy số khám tự động, bàn, ghế, giường, tủ, đèn chiếu sáng, các bộ dụng cụ, công cụ phục vụ công tác khám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2. Xác định số lần và giá khám bệnh trong một số trường hợp cụ thể:</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a) Trường hợp người bệnh đến khám bệnh tại cơ sở khám chữa bệnh sau đó được chuyển vào điều trị nội trú theo yêu cầu chuyên môn thì được tính là một lần khám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es-ES"/>
        </w:rPr>
        <w:t>b</w:t>
      </w:r>
      <w:r w:rsidRPr="00CC0CE5">
        <w:rPr>
          <w:rFonts w:ascii="Times New Roman" w:hAnsi="Times New Roman" w:cs="Times New Roman"/>
          <w:szCs w:val="28"/>
          <w:lang w:val="vi-VN"/>
        </w:rPr>
        <w:t xml:space="preserve">) Trường hợp trong cùng một </w:t>
      </w:r>
      <w:r w:rsidRPr="00CC0CE5">
        <w:rPr>
          <w:rFonts w:ascii="Times New Roman" w:hAnsi="Times New Roman" w:cs="Times New Roman"/>
          <w:szCs w:val="28"/>
          <w:lang w:val="es-ES"/>
        </w:rPr>
        <w:t>lần đến khám bệnh</w:t>
      </w:r>
      <w:r w:rsidRPr="00CC0CE5">
        <w:rPr>
          <w:rFonts w:ascii="Times New Roman" w:hAnsi="Times New Roman" w:cs="Times New Roman"/>
          <w:szCs w:val="28"/>
          <w:lang w:val="vi-VN"/>
        </w:rPr>
        <w:t xml:space="preserve"> tại cùng một cơ sở y tế</w:t>
      </w:r>
      <w:r w:rsidRPr="00CC0CE5">
        <w:rPr>
          <w:rFonts w:ascii="Times New Roman" w:hAnsi="Times New Roman" w:cs="Times New Roman"/>
          <w:szCs w:val="28"/>
          <w:lang w:val="es-ES"/>
        </w:rPr>
        <w:t xml:space="preserve"> (có thể trong cùng một ngày hoặc </w:t>
      </w:r>
      <w:r w:rsidRPr="00CC0CE5">
        <w:rPr>
          <w:rFonts w:ascii="Times New Roman" w:hAnsi="Times New Roman" w:cs="Times New Roman"/>
          <w:szCs w:val="28"/>
          <w:lang w:val="vi-VN"/>
        </w:rPr>
        <w:t>do điều kiện khách quan hoặc yêu cầu chuyên môn nên chưa hoàn thành được quá trình khám bệnh trong ngày đầu tiên, phải tiếp tục khám trong ngày tiếp theo</w:t>
      </w:r>
      <w:r w:rsidRPr="00CC0CE5">
        <w:rPr>
          <w:rFonts w:ascii="Times New Roman" w:hAnsi="Times New Roman" w:cs="Times New Roman"/>
          <w:szCs w:val="28"/>
          <w:lang w:val="es-ES"/>
        </w:rPr>
        <w:t>)</w:t>
      </w:r>
      <w:r w:rsidRPr="00CC0CE5">
        <w:rPr>
          <w:rFonts w:ascii="Times New Roman" w:hAnsi="Times New Roman" w:cs="Times New Roman"/>
          <w:szCs w:val="28"/>
          <w:lang w:val="vi-VN"/>
        </w:rPr>
        <w:t xml:space="preserve">, người bệnh sau khi khám một chuyên khoa cần phải khám thêm các chuyên khoa khác thì từ lần khám thứ 2 trở đi chỉ tính 30% mức giá của 1 lần khám bệnh </w:t>
      </w:r>
      <w:r w:rsidRPr="00CC0CE5">
        <w:rPr>
          <w:rFonts w:ascii="Times New Roman" w:hAnsi="Times New Roman" w:cs="Times New Roman"/>
          <w:szCs w:val="28"/>
          <w:lang w:val="es-ES"/>
        </w:rPr>
        <w:t>và</w:t>
      </w:r>
      <w:r w:rsidRPr="00CC0CE5">
        <w:rPr>
          <w:rFonts w:ascii="Times New Roman" w:hAnsi="Times New Roman" w:cs="Times New Roman"/>
          <w:szCs w:val="28"/>
          <w:lang w:val="vi-VN"/>
        </w:rPr>
        <w:t xml:space="preserve"> mức thanh toán tối đa chi phí khám bệnh không quá 2 lần mức giá của 1 lần khám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c) Trường hợp người bệnh đến khám bệnh tại cơ sở khám bệnh, chữa bệnh, đã được khám, cấp thuốc về điều trị nhưng sau đó thấy có biểu hiện bất thường, quay trở lại cơ sở khám bệnh, chữa bệnh để khám lại ngay trong ngày hôm đó và được tiếp tục thăm khám thì lần khám này được coi như là lần khám thứ 2 trở đi trong một ngày. Việc thanh toán thực hiện theo hướng dẫn tại điểm b khoản này;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d) Trường hợp cơ sở khám, chữa bệnh có tổ chức các phòng khám chuyên khoa tại khoa lâm sàng, người bệnh đăng ký khám bệnh tại khoa khám bệnh và khám tại các phòng khám chuyên khoa của khoa lâm sàng thì được tính như khám bệnh tại khoa khám bệnh. Việc tính chi phí và số lần khám bệnh trường hợp này thực hiện theo hướng dẫn tại điểm b khoản này;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đ) Trường hợp người bệnh vào viện tại các khoa điều trị lâm sàng, không đăng ký khám bệnh tại khoa khám bệnh thì không được tính tiền khám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 xml:space="preserve">e) Trường hợp người bệnh vào khoa cấp cứu, không qua khoa khám bệnh nếu thời gian điều trị dưới 4 giờ </w:t>
      </w:r>
      <w:r w:rsidRPr="00CC0CE5">
        <w:rPr>
          <w:rFonts w:ascii="Times New Roman" w:hAnsi="Times New Roman" w:cs="Times New Roman"/>
          <w:szCs w:val="28"/>
        </w:rPr>
        <w:t xml:space="preserve">(kể cả trường hợp ra viện, chuyển viện, tử vong) </w:t>
      </w:r>
      <w:r w:rsidRPr="00CC0CE5">
        <w:rPr>
          <w:rFonts w:ascii="Times New Roman" w:hAnsi="Times New Roman" w:cs="Times New Roman"/>
          <w:szCs w:val="28"/>
          <w:lang w:val="vi-VN"/>
        </w:rPr>
        <w:t>thì người bệnh chỉ phải chi trả tiền khám bệnh, tiền thuốc và các dịch vụ kỹ thuật, không phải chi trả tiền ngày giường bệnh điều trị nội trú;</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rPr>
      </w:pPr>
      <w:r w:rsidRPr="00CC0CE5">
        <w:rPr>
          <w:rFonts w:ascii="Times New Roman" w:hAnsi="Times New Roman" w:cs="Times New Roman"/>
          <w:szCs w:val="28"/>
          <w:lang w:val="vi-VN"/>
        </w:rPr>
        <w:t>g) Đối với Phòng khám Ban Bảo vệ chăm sóc sức khỏe cán bộ tỉnh, thành phố không trực thuộc Bệnh viện đa khoa tỉnh: áp dụng mức giá khám bệnh của bệnh viện hạng II trên địa bàn tỉnh.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bookmarkStart w:id="10" w:name="dieu_5"/>
      <w:r w:rsidRPr="00CC0CE5">
        <w:rPr>
          <w:rFonts w:ascii="Times New Roman" w:hAnsi="Times New Roman" w:cs="Times New Roman"/>
          <w:b/>
          <w:szCs w:val="28"/>
          <w:lang w:val="es-ES"/>
        </w:rPr>
        <w:t>Điều 5. Hướng dẫn thực hiện giá dịch vụ ngày giường điều trị</w:t>
      </w:r>
      <w:bookmarkEnd w:id="10"/>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 xml:space="preserve">1. </w:t>
      </w:r>
      <w:r w:rsidRPr="00CC0CE5">
        <w:rPr>
          <w:rFonts w:ascii="Times New Roman" w:hAnsi="Times New Roman" w:cs="Times New Roman"/>
          <w:szCs w:val="28"/>
        </w:rPr>
        <w:t>C</w:t>
      </w:r>
      <w:r w:rsidRPr="00CC0CE5">
        <w:rPr>
          <w:rFonts w:ascii="Times New Roman" w:hAnsi="Times New Roman" w:cs="Times New Roman"/>
          <w:szCs w:val="28"/>
          <w:lang w:val="vi-VN"/>
        </w:rPr>
        <w:t xml:space="preserve">ác chi phí trực tiếp cần thiết cho việc </w:t>
      </w:r>
      <w:r w:rsidRPr="00CC0CE5">
        <w:rPr>
          <w:rFonts w:ascii="Times New Roman" w:hAnsi="Times New Roman" w:cs="Times New Roman"/>
          <w:szCs w:val="28"/>
        </w:rPr>
        <w:t>xác định giá</w:t>
      </w:r>
      <w:r w:rsidRPr="00CC0CE5">
        <w:rPr>
          <w:rFonts w:ascii="Times New Roman" w:hAnsi="Times New Roman" w:cs="Times New Roman"/>
          <w:szCs w:val="28"/>
          <w:lang w:val="vi-VN"/>
        </w:rPr>
        <w:t xml:space="preserve"> tối đa</w:t>
      </w:r>
      <w:r w:rsidRPr="00CC0CE5">
        <w:rPr>
          <w:rFonts w:ascii="Times New Roman" w:hAnsi="Times New Roman" w:cs="Times New Roman"/>
          <w:szCs w:val="28"/>
        </w:rPr>
        <w:t xml:space="preserve"> </w:t>
      </w:r>
      <w:r w:rsidRPr="00CC0CE5">
        <w:rPr>
          <w:rFonts w:ascii="Times New Roman" w:hAnsi="Times New Roman" w:cs="Times New Roman"/>
          <w:szCs w:val="28"/>
          <w:lang w:val="vi-VN"/>
        </w:rPr>
        <w:t xml:space="preserve">ngày giường </w:t>
      </w:r>
      <w:r w:rsidRPr="00CC0CE5">
        <w:rPr>
          <w:rFonts w:ascii="Times New Roman" w:hAnsi="Times New Roman" w:cs="Times New Roman"/>
          <w:szCs w:val="28"/>
        </w:rPr>
        <w:t xml:space="preserve">theo quy định tại điểm </w:t>
      </w:r>
      <w:r w:rsidRPr="00CC0CE5">
        <w:rPr>
          <w:rFonts w:ascii="Times New Roman" w:hAnsi="Times New Roman" w:cs="Times New Roman"/>
          <w:szCs w:val="28"/>
          <w:lang w:val="vi-VN"/>
        </w:rPr>
        <w:t>a khoản</w:t>
      </w:r>
      <w:r w:rsidRPr="00CC0CE5">
        <w:rPr>
          <w:rFonts w:ascii="Times New Roman" w:hAnsi="Times New Roman" w:cs="Times New Roman"/>
          <w:szCs w:val="28"/>
        </w:rPr>
        <w:t xml:space="preserve"> </w:t>
      </w:r>
      <w:r w:rsidRPr="00CC0CE5">
        <w:rPr>
          <w:rFonts w:ascii="Times New Roman" w:hAnsi="Times New Roman" w:cs="Times New Roman"/>
          <w:szCs w:val="28"/>
          <w:lang w:val="vi-VN"/>
        </w:rPr>
        <w:t>2</w:t>
      </w:r>
      <w:r w:rsidRPr="00CC0CE5">
        <w:rPr>
          <w:rFonts w:ascii="Times New Roman" w:hAnsi="Times New Roman" w:cs="Times New Roman"/>
          <w:szCs w:val="28"/>
        </w:rPr>
        <w:t xml:space="preserve"> Điều 2 Thông tư</w:t>
      </w:r>
      <w:r w:rsidRPr="00CC0CE5">
        <w:rPr>
          <w:rFonts w:ascii="Times New Roman" w:hAnsi="Times New Roman" w:cs="Times New Roman"/>
          <w:szCs w:val="28"/>
          <w:lang w:val="vi-VN"/>
        </w:rPr>
        <w:t xml:space="preserve"> này gồm:</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rPr>
      </w:pPr>
      <w:r w:rsidRPr="00CC0CE5">
        <w:rPr>
          <w:rFonts w:ascii="Times New Roman" w:hAnsi="Times New Roman" w:cs="Times New Roman"/>
          <w:szCs w:val="28"/>
          <w:lang w:val="vi-VN"/>
        </w:rPr>
        <w:t>a) Chi phí về găng tay thăm khám, găng tay sử dụng trong tiêm, truyền và chăm sóc người bệnh, mũ, khẩu trang, quần áo, chăn, ga, gối, đệm, màn, chiếu, đồ vải dùng cho cán bộ y tế và người bệnh; văn phòng phẩm như giấy, bút, sổ, mực in, mực dấu, ghim, ấn chỉ chuyên môn và các văn phòng phẩm khác;vật tư tiêu hao thông dụng như bông, băng, cồn, gạc, bơm kim tiêm thông thường loại dùng 01 lần, dung tích nhỏ hơn hoặc bằng 10ml, kim lấy thuốc, nước muối rửa và các vật tư tiêu hao khác phục vụ công tác chăm sóc, điều trị hằng ngày;</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u w:val="single"/>
          <w:lang w:val="vi-VN"/>
        </w:rPr>
      </w:pPr>
      <w:r w:rsidRPr="00CC0CE5">
        <w:rPr>
          <w:rFonts w:ascii="Times New Roman" w:hAnsi="Times New Roman" w:cs="Times New Roman"/>
          <w:szCs w:val="28"/>
          <w:lang w:val="vi-VN"/>
        </w:rPr>
        <w:t>b) Chi phí về điện; nước; xử lý chất thải; giặt, là, hấp, sấy, rửa, tiệt trùng đồ vải, dụng cụ thăm khám; chi phí vệ sinh và bảo đảm vệ sinh môi trường; vật tư, hóa chất khử khuẩn, chống nhiễm khuẩn khu vực buồng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vi-VN"/>
        </w:rPr>
      </w:pPr>
      <w:r w:rsidRPr="00CC0CE5">
        <w:rPr>
          <w:rFonts w:ascii="Times New Roman" w:hAnsi="Times New Roman" w:cs="Times New Roman"/>
          <w:szCs w:val="28"/>
          <w:lang w:val="vi-VN"/>
        </w:rPr>
        <w:t>c) Chi phí duy tu, bảo dưỡng, mua sắm thay thế các tài sản, công cụ, dụng cụ như: điều hòa, máy tính, máy in, máy hút ẩm, quạt, bàn, ghế, giường, tủ, đèn chiếu sáng, các bộ dụng cụ, công cụ phục vụ công tác chăm sóc và điều trị người bệnh.</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es-ES"/>
        </w:rPr>
      </w:pPr>
      <w:r w:rsidRPr="00CC0CE5">
        <w:rPr>
          <w:rFonts w:ascii="Times New Roman" w:hAnsi="Times New Roman" w:cs="Times New Roman"/>
          <w:szCs w:val="28"/>
          <w:lang w:val="vi-VN"/>
        </w:rPr>
        <w:t xml:space="preserve">2. </w:t>
      </w:r>
      <w:r w:rsidRPr="00CC0CE5">
        <w:rPr>
          <w:rFonts w:ascii="Times New Roman" w:hAnsi="Times New Roman" w:cs="Times New Roman"/>
          <w:szCs w:val="28"/>
          <w:lang w:val="es-ES"/>
        </w:rPr>
        <w:t>Số ngày điều trị nội trú được tính theo hướng dẫn tại Thông tư số 28/2014/TT-BYT ngày 14 tháng 8 năm 2014 của Bộ Y tế quy định nội dung hệ thống chỉ tiêu thống kê ngành y tế, cụ thể:</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a) Số ngày điều trị nội trú = (ngày ra viện- ngày vào viện) + 1;</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b) Trong trường hợp người bệnh vào viện hôm trước và ra viện vào hôm sau (từ 4 tiếng đến dưới 24 tiếng) chỉ được tính một ngày;</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c) Trong trường hợp người bệnh chuyển 02 khoa trong cùng một ngày thì mỗi khoa chỉ được tính ½ ngày. Trường hợp người bệnh chuyển từ 3 khoa trở lên trong cùng một ngày thì giá ngày giường điều trị nội trú hôm đó được tính bằng trung bình cộng tiền ngày giường tại khoa có thời gian nằm điều trị trên 4 giờ có mức giá tiền giường cao nhất và tại khoa có thời gian nằm điều trị trên 4 giờ có mức giá tiền giường thấp nhất.</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3. Giá ngày giường bệnh ngoại khoa, bỏng: áp dụng tối đa không quá 10 ngày sau phẫu thuật. Từ ngày thứ 11 sau phẫu thuật trở đi thì áp dụng mức giá ngày giường nội khoa quy định tại mục 3 của Phụ lục II ban hành kèm theo Thông tư này đã được cơ quan có thẩm quyền quyết định.</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4. Giá ngày giường điều trị được tính cho 01 người/01 giường điều trị. Trường hợp phải nằm ghép 02 người/01 giường thì chỉ được thu tối đa 50%, trường hợp nằm ghép từ 03 người trở lên thì chỉ được thu tối đa 30% mức thu ngày giường điều trị đã được cơ quan có thẩm quyền quyết định.</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5. G</w:t>
      </w:r>
      <w:r w:rsidRPr="00CC0CE5">
        <w:rPr>
          <w:rFonts w:ascii="Times New Roman" w:hAnsi="Times New Roman"/>
          <w:szCs w:val="28"/>
          <w:lang w:val="vi-VN"/>
        </w:rPr>
        <w:t>iá ngày</w:t>
      </w:r>
      <w:r w:rsidRPr="00CC0CE5">
        <w:rPr>
          <w:rFonts w:ascii="Times New Roman" w:hAnsi="Times New Roman"/>
          <w:szCs w:val="28"/>
          <w:lang w:val="es-ES"/>
        </w:rPr>
        <w:t xml:space="preserve"> giường</w:t>
      </w:r>
      <w:r w:rsidRPr="00CC0CE5">
        <w:rPr>
          <w:rFonts w:ascii="Times New Roman" w:hAnsi="Times New Roman"/>
          <w:szCs w:val="28"/>
          <w:lang w:val="vi-VN"/>
        </w:rPr>
        <w:t xml:space="preserve"> </w:t>
      </w:r>
      <w:r w:rsidRPr="00CC0CE5">
        <w:rPr>
          <w:rFonts w:ascii="Times New Roman" w:hAnsi="Times New Roman"/>
          <w:szCs w:val="28"/>
          <w:lang w:val="es-ES"/>
        </w:rPr>
        <w:t xml:space="preserve">điều trị </w:t>
      </w:r>
      <w:r w:rsidRPr="00CC0CE5">
        <w:rPr>
          <w:rFonts w:ascii="Times New Roman" w:hAnsi="Times New Roman"/>
          <w:szCs w:val="28"/>
          <w:lang w:val="vi-VN"/>
        </w:rPr>
        <w:t>Hồi sức tích cực (ICU)</w:t>
      </w:r>
      <w:r w:rsidRPr="00CC0CE5">
        <w:rPr>
          <w:rFonts w:ascii="Times New Roman" w:hAnsi="Times New Roman"/>
          <w:szCs w:val="28"/>
          <w:lang w:val="es-ES"/>
        </w:rPr>
        <w:t xml:space="preserve"> chỉ được áp dụng trong các trường hợp sau:</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es-ES"/>
        </w:rPr>
        <w:t xml:space="preserve">a) </w:t>
      </w:r>
      <w:r w:rsidRPr="00CC0CE5">
        <w:rPr>
          <w:rFonts w:ascii="Times New Roman" w:hAnsi="Times New Roman"/>
          <w:szCs w:val="28"/>
          <w:lang w:val="vi-VN"/>
        </w:rPr>
        <w:t xml:space="preserve">Đối với bệnh viện hạng đặc biệt, hạng I hoặc hạng II đã thành lập khoa </w:t>
      </w:r>
      <w:r w:rsidRPr="00CC0CE5">
        <w:rPr>
          <w:rFonts w:ascii="Times New Roman" w:hAnsi="Times New Roman"/>
          <w:szCs w:val="28"/>
          <w:lang w:val="es-ES"/>
        </w:rPr>
        <w:t>Hồi sức</w:t>
      </w:r>
      <w:r w:rsidRPr="00CC0CE5">
        <w:rPr>
          <w:rFonts w:ascii="Times New Roman" w:hAnsi="Times New Roman"/>
          <w:szCs w:val="28"/>
          <w:lang w:val="vi-VN"/>
        </w:rPr>
        <w:t xml:space="preserve"> tích cực, khoa</w:t>
      </w:r>
      <w:r w:rsidRPr="00CC0CE5">
        <w:rPr>
          <w:rFonts w:ascii="Times New Roman" w:hAnsi="Times New Roman"/>
          <w:szCs w:val="28"/>
          <w:lang w:val="es-ES"/>
        </w:rPr>
        <w:t xml:space="preserve"> hoặc trung tâm</w:t>
      </w:r>
      <w:r w:rsidRPr="00CC0CE5">
        <w:rPr>
          <w:rFonts w:ascii="Times New Roman" w:hAnsi="Times New Roman"/>
          <w:szCs w:val="28"/>
          <w:lang w:val="vi-VN"/>
        </w:rPr>
        <w:t xml:space="preserve"> chống độc, </w:t>
      </w:r>
      <w:r w:rsidRPr="00CC0CE5">
        <w:rPr>
          <w:rFonts w:ascii="Times New Roman" w:hAnsi="Times New Roman"/>
          <w:szCs w:val="28"/>
          <w:lang w:val="es-ES"/>
        </w:rPr>
        <w:t xml:space="preserve">khoa Hồi sức tích cực – chống độc và các khoa, trung tâm này </w:t>
      </w:r>
      <w:r w:rsidRPr="00CC0CE5">
        <w:rPr>
          <w:rFonts w:ascii="Times New Roman" w:hAnsi="Times New Roman"/>
          <w:szCs w:val="28"/>
          <w:lang w:val="vi-VN"/>
        </w:rPr>
        <w:t>có đầy đủ các điều kiện để hoạt động theo Quyết định số 01/2008/QĐ-BYT ngày 21</w:t>
      </w:r>
      <w:r w:rsidRPr="00CC0CE5">
        <w:rPr>
          <w:rFonts w:ascii="Times New Roman" w:hAnsi="Times New Roman"/>
          <w:szCs w:val="28"/>
          <w:lang w:val="es-ES"/>
        </w:rPr>
        <w:t xml:space="preserve"> tháng </w:t>
      </w:r>
      <w:r w:rsidRPr="00CC0CE5">
        <w:rPr>
          <w:rFonts w:ascii="Times New Roman" w:hAnsi="Times New Roman"/>
          <w:szCs w:val="28"/>
          <w:lang w:val="vi-VN"/>
        </w:rPr>
        <w:t>01</w:t>
      </w:r>
      <w:r w:rsidRPr="00CC0CE5">
        <w:rPr>
          <w:rFonts w:ascii="Times New Roman" w:hAnsi="Times New Roman"/>
          <w:szCs w:val="28"/>
          <w:lang w:val="es-ES"/>
        </w:rPr>
        <w:t xml:space="preserve"> năm </w:t>
      </w:r>
      <w:r w:rsidRPr="00CC0CE5">
        <w:rPr>
          <w:rFonts w:ascii="Times New Roman" w:hAnsi="Times New Roman"/>
          <w:szCs w:val="28"/>
          <w:lang w:val="vi-VN"/>
        </w:rPr>
        <w:t>2008 của Bộ Y tế về việc ban hành quy chế cấp cứu, hồi sức tích cực và chống độc</w:t>
      </w:r>
      <w:r w:rsidRPr="00CC0CE5">
        <w:rPr>
          <w:rFonts w:ascii="Times New Roman" w:hAnsi="Times New Roman"/>
          <w:szCs w:val="28"/>
          <w:lang w:val="es-ES"/>
        </w:rPr>
        <w:t>;</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b) Trường hợp đơn vị chưa thành lập khoa Hồi sức tích cực nhưng trong khoa Cấp cứu có một số giường được sử dụng để điều trị tích cực, giường bệnh sau phẫu thuật của các phẫu thuật loại đặc biệt, loại I và các giường bệnh này đáp ứng được yêu cầu về trang bị cho giường hồi sức tích cực quy định tại Quyết định số 01/2008/QĐ-BYT của Bộ Y tế nêu trên;</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c) Khi người bệnh nằm tại các giường này với các bệnh lý cần được chăm sóc, điều trị và theo dõi theo quy chế cấp cứu, hồi sức tích cực và chống độc. Các trường hợp còn lại chỉ được áp dụng mức giá ngày giường hồi sức cấp cứu quy định tại dịch vụ số 2, phụ lục II của Thông tư này đã được cơ quan có thẩm quyền quyết định.</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6. Áp dụng mức giá ngày giường bệnh cấp cứu:</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a) Đối với các khoa điều trị lâm sàng có giường hồi sức cấp cứu trong khoa (ví dụ trong khoa Nhi có giường hồi sức cấp cứu nhi, các khoa sơ sinh/chăm sóc đặc biệt đối với trẻ sơ sinh thiếu tháng) thì được áp dụng giá ngày giường hồi sức cấp cứu quy định tại dịch vụ số 2 Phụ lục II của Thông tư này đã được cơ quan có thẩm quyền quyết định</w:t>
      </w:r>
      <w:r w:rsidRPr="00CC0CE5">
        <w:rPr>
          <w:rFonts w:ascii="Times New Roman" w:hAnsi="Times New Roman"/>
          <w:szCs w:val="28"/>
        </w:rPr>
        <w:t>;</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b) Trường hợp người bệnh vào khoa cấp cứu không đăng ký khám tại khoa khám bệnh: Nếu thời gian điều trị từ 04 giờ trở lên thì người bệnh chỉ phải chi trả tiền ngày giường bệnh điều trị nội trú, tiền thuốc và các dịch vụ kỹ thuật theo quy định, không phải chi trả tiền khám bệnh.</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7. Trường hợp cơ sở khám bệnh, chữa bệnh kê thêm giường bệnh ngoài số giường kế hoạch được giao: được áp dụng mức giá ngày giường bệnh tương ứng đã được cơ quan có thẩm quyền quyết định.</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8. Trường hợp người bệnh nằm trên băng ca, giường gấp: tạm thời áp dụng mức giá ngày giường bệnh nằm ghép 02 người theo từng loại chuyên khoa đã được cơ quan có thẩm quyền quyết định.</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9. Trường hợp bệnh viện hạng III, IV hoặc chưa xếp hạng nhưng được cơ quan có thẩm quyền phê duyệt thực hiện phẫu thuật loại đặc biệt thì áp dụng mức giá tiền giường ngoại khoa cao nhất của cơ sở khám bệnh, chữa bệnh nơi thực hiện dịch vụ đó.</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Ví dụ: Tại Bệnh viện A được phê duyệt thực hiện phẫu thuật loại đặc biệt: Nếu Bệnh viện được xếp hạng III thì được áp dụng mức giá ngày giường bệnh ngoại khoa sau phẫu thuật loại I của bệnh viện hạng III; nếu Bệnh viện được xếp hạng IV hoặc chưa xếp hạng thì được áp dụng mức giá ngày giường bệnh ngoại khoa sau phẫu thuật loại I của bệnh viện hạng IV.</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10. Trường hợp một phẫu thuật nhưng được phân loại khác nhau (trừ chuyên khoa nhi) tại Thông tư số 50/2014/TT-BYT ngày 26 tháng 12 năm 2014 của Bộ Y tế quy định phân loại phẫu thuật, thủ thuật và định mức nhân lực trong từng ca phẫu thuật, thủ thuật (sau đây gọi tắt là Thông tư số 50/2014/TT-BYT): áp dụng mức giá ngày giường bệnh ngoại khoa, bỏng theo phân loại phẫu thuật thấp nhất.</w:t>
      </w:r>
    </w:p>
    <w:p w:rsidR="00CC0CE5" w:rsidRPr="00CC0CE5" w:rsidRDefault="00CC0CE5" w:rsidP="00CC0CE5">
      <w:pPr>
        <w:spacing w:beforeLines="50" w:before="120" w:afterLines="50" w:after="120" w:line="312" w:lineRule="auto"/>
        <w:jc w:val="both"/>
        <w:rPr>
          <w:rFonts w:ascii="Times New Roman" w:hAnsi="Times New Roman"/>
          <w:szCs w:val="28"/>
        </w:rPr>
      </w:pPr>
      <w:r w:rsidRPr="00CC0CE5">
        <w:rPr>
          <w:rFonts w:ascii="Times New Roman" w:hAnsi="Times New Roman"/>
          <w:szCs w:val="28"/>
          <w:lang w:val="vi-VN"/>
        </w:rPr>
        <w:t>11. Trường hợp các phẫu thuật xếp tương đương với một phẫu thuật quy định tại Thông tư này nhưng có phân loại phẫu thuật khác nhau theo từng chuyên khoa tại Thông tư số 50/2014/TT-BYT thì áp dụng mức giá ngày giường bệnh ngoại khoa, bỏng theo phân loại của phẫu thuật đó.</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12</w:t>
      </w:r>
      <w:r w:rsidRPr="00CC0CE5">
        <w:rPr>
          <w:rFonts w:ascii="Times New Roman" w:hAnsi="Times New Roman"/>
          <w:szCs w:val="28"/>
        </w:rPr>
        <w:t>.</w:t>
      </w:r>
      <w:r w:rsidRPr="00CC0CE5">
        <w:rPr>
          <w:rFonts w:ascii="Times New Roman" w:hAnsi="Times New Roman"/>
          <w:szCs w:val="28"/>
          <w:lang w:val="vi-VN"/>
        </w:rPr>
        <w:t xml:space="preserve"> Trường hợp các phẫu thuật chưa được phân loại phẫu thuật quy định tại Thông tư số 50/2014/TT-BYT thì áp dụng mức giá thanh toán ngày giường ngoại khoa loại 4 của hạng bệnh viện tương ứng.</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13. Áp dụng giá ngày giường bệnh điều trị đối với các khoa thuộc bệnh viện y học cổ truyền, bệnh viện điều dưỡng phục hồi chức năng:</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a) Giường Hồi sức tích cực (ICU): thực hiện theo hướng dẫn tại khoản 5 Điều này;</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b) Giường Cấp cứu: thực hiện theo hướng dẫn tại khoản 6 Điều này</w:t>
      </w:r>
      <w:r w:rsidRPr="00CC0CE5">
        <w:rPr>
          <w:rFonts w:ascii="Times New Roman" w:hAnsi="Times New Roman"/>
          <w:szCs w:val="28"/>
        </w:rPr>
        <w:t>;</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c) Giường bệnh tại các khoa ung thư, nhi: áp dụng giá ngày giường điều trị nội khoa loại 1 (quy định tại điểm 3.1 Phụ lục II) theo hạng bệnh viện tương ứng</w:t>
      </w:r>
      <w:r w:rsidRPr="00CC0CE5">
        <w:rPr>
          <w:rFonts w:ascii="Times New Roman" w:hAnsi="Times New Roman"/>
          <w:szCs w:val="28"/>
        </w:rPr>
        <w:t>;</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d) Giường bệnh nội khoa của các khoa còn lại: áp dụng theo mức giá ngày giường nội khoa loại 2 (quy định tại điểm 3.2 Phụ lục II) đối với nhóm người bệnh tổn thương tủy sống, tai biến mạch máu não, chấn thương sọ não, áp dụng theo mức giá ngày giường nội khoa loại 3 (quy định tại điểm 3.3 Phụ lục II) theo hạng bệnh viện tương ứng đối với các bệnh còn lại.</w:t>
      </w:r>
    </w:p>
    <w:p w:rsidR="00CC0CE5" w:rsidRPr="00CC0CE5" w:rsidRDefault="00CC0CE5" w:rsidP="00CC0CE5">
      <w:pPr>
        <w:spacing w:beforeLines="50" w:before="120" w:afterLines="50" w:after="120" w:line="312" w:lineRule="auto"/>
        <w:jc w:val="both"/>
        <w:rPr>
          <w:rFonts w:ascii="Times New Roman" w:hAnsi="Times New Roman"/>
          <w:szCs w:val="28"/>
        </w:rPr>
      </w:pPr>
      <w:r w:rsidRPr="00CC0CE5">
        <w:rPr>
          <w:rFonts w:ascii="Times New Roman" w:hAnsi="Times New Roman"/>
          <w:szCs w:val="28"/>
          <w:lang w:val="vi-VN"/>
        </w:rPr>
        <w:t>14. Đối với các trường hợp liên chuyên khoa: áp dụng mức giá của chuyên khoa thấp nhất trong các khoa tương ứng với hạng bệnh viện.</w:t>
      </w:r>
    </w:p>
    <w:p w:rsidR="00CC0CE5" w:rsidRPr="00CC0CE5" w:rsidRDefault="00CC0CE5" w:rsidP="00CC0CE5">
      <w:pPr>
        <w:spacing w:beforeLines="50" w:before="120" w:afterLines="50" w:after="120" w:line="312" w:lineRule="auto"/>
        <w:jc w:val="both"/>
        <w:rPr>
          <w:rFonts w:ascii="Times New Roman" w:hAnsi="Times New Roman"/>
          <w:szCs w:val="28"/>
        </w:rPr>
      </w:pPr>
    </w:p>
    <w:p w:rsidR="00CC0CE5" w:rsidRPr="00CC0CE5" w:rsidRDefault="00CC0CE5" w:rsidP="00CC0CE5">
      <w:pPr>
        <w:spacing w:beforeLines="50" w:before="120" w:afterLines="50" w:after="120" w:line="312" w:lineRule="auto"/>
        <w:jc w:val="both"/>
        <w:rPr>
          <w:rFonts w:ascii="Times New Roman" w:hAnsi="Times New Roman"/>
          <w:b/>
          <w:szCs w:val="28"/>
        </w:rPr>
      </w:pPr>
      <w:bookmarkStart w:id="11" w:name="dieu_6"/>
      <w:r w:rsidRPr="00CC0CE5">
        <w:rPr>
          <w:rFonts w:ascii="Times New Roman" w:hAnsi="Times New Roman"/>
          <w:b/>
          <w:szCs w:val="28"/>
        </w:rPr>
        <w:t>Điều 6. Hướng dẫn thực hiện giá dịch vụ kỹ thuật và xét nghiệm</w:t>
      </w:r>
      <w:bookmarkEnd w:id="11"/>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 xml:space="preserve">1. Giá của các dịch vụ kỹ thuật đã bao gồm tiền thuốc, </w:t>
      </w:r>
      <w:r w:rsidRPr="00CC0CE5">
        <w:rPr>
          <w:rFonts w:ascii="Times New Roman" w:hAnsi="Times New Roman"/>
          <w:szCs w:val="28"/>
        </w:rPr>
        <w:t xml:space="preserve">hóa chất, </w:t>
      </w:r>
      <w:r w:rsidRPr="00CC0CE5">
        <w:rPr>
          <w:rFonts w:ascii="Times New Roman" w:hAnsi="Times New Roman"/>
          <w:szCs w:val="28"/>
          <w:lang w:val="vi-VN"/>
        </w:rPr>
        <w:t>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2. Giá của các phẫu thuật, thủ thuật chưa bao gồm chi phí máu, chế phẩm máu nếu có sử dụng. Trường hợp có sử dụng được thanh toán theo quy định tại Thông tư số 33/TT-BYT ngày 27 tháng 10 năm 2014 của Bộ Y tế quy định giá tối đa và chi phí phục vụ cho việc xác định giá một đơn vị máu toàn phần, chế phẩm máu đạt tiêu chuẩn.</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3. Nguyên tắc áp dụng giá dịch vụ theo thứ tự như sau:</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 xml:space="preserve">a) Đối với các dịch vụ cụ thể đã được quy định mức giá tối đa tại các </w:t>
      </w:r>
      <w:r w:rsidRPr="00CC0CE5">
        <w:rPr>
          <w:rFonts w:ascii="Times New Roman" w:hAnsi="Times New Roman"/>
          <w:szCs w:val="28"/>
        </w:rPr>
        <w:t>p</w:t>
      </w:r>
      <w:r w:rsidRPr="00CC0CE5">
        <w:rPr>
          <w:rFonts w:ascii="Times New Roman" w:hAnsi="Times New Roman"/>
          <w:szCs w:val="28"/>
          <w:lang w:val="vi-VN"/>
        </w:rPr>
        <w:t>hụ lục kèm theo Thông tư này: áp dụng theo mức giá được cơ quan có thẩm quyền quyết định cho từng dịch vụ.</w:t>
      </w:r>
    </w:p>
    <w:p w:rsidR="00CC0CE5" w:rsidRPr="00CC0CE5" w:rsidRDefault="00CC0CE5" w:rsidP="00CC0CE5">
      <w:pPr>
        <w:spacing w:beforeLines="50" w:before="120" w:afterLines="50" w:after="120" w:line="312" w:lineRule="auto"/>
        <w:jc w:val="both"/>
        <w:rPr>
          <w:rFonts w:ascii="Times New Roman" w:hAnsi="Times New Roman"/>
          <w:szCs w:val="28"/>
          <w:lang w:val="vi-VN"/>
        </w:rPr>
      </w:pPr>
      <w:r w:rsidRPr="00CC0CE5">
        <w:rPr>
          <w:rFonts w:ascii="Times New Roman" w:hAnsi="Times New Roman"/>
          <w:szCs w:val="28"/>
          <w:lang w:val="vi-VN"/>
        </w:rPr>
        <w:t xml:space="preserve">b) Các dịch vụ kỹ thuật chưa được quy định mức giá tối đa tại các </w:t>
      </w:r>
      <w:r w:rsidRPr="00CC0CE5">
        <w:rPr>
          <w:rFonts w:ascii="Times New Roman" w:hAnsi="Times New Roman"/>
          <w:szCs w:val="28"/>
        </w:rPr>
        <w:t>p</w:t>
      </w:r>
      <w:r w:rsidRPr="00CC0CE5">
        <w:rPr>
          <w:rFonts w:ascii="Times New Roman" w:hAnsi="Times New Roman"/>
          <w:szCs w:val="28"/>
          <w:lang w:val="vi-VN"/>
        </w:rPr>
        <w:t>hụ lục kèm theo Thông tư này</w:t>
      </w:r>
      <w:r w:rsidRPr="00CC0CE5">
        <w:rPr>
          <w:rFonts w:ascii="Times New Roman" w:hAnsi="Times New Roman"/>
          <w:szCs w:val="28"/>
        </w:rPr>
        <w:t xml:space="preserve"> đồng thời cũng chưa được xếp tương đương về kỹ thuật và chi phí thực hiện</w:t>
      </w:r>
      <w:r w:rsidRPr="00CC0CE5">
        <w:rPr>
          <w:rFonts w:ascii="Times New Roman" w:hAnsi="Times New Roman"/>
          <w:szCs w:val="28"/>
          <w:lang w:val="vi-VN"/>
        </w:rPr>
        <w:t>: áp dụng theo mức của các dịch vụ được Bộ Y tế xếp tương đương về kỹ thuật và chi phí thực hiện.</w:t>
      </w:r>
    </w:p>
    <w:p w:rsidR="00CC0CE5" w:rsidRPr="00CC0CE5" w:rsidRDefault="00CC0CE5" w:rsidP="00CC0CE5">
      <w:pPr>
        <w:pStyle w:val="BodyTextIndent2"/>
        <w:spacing w:beforeLines="50" w:before="120" w:afterLines="50" w:after="120" w:line="312" w:lineRule="auto"/>
        <w:ind w:firstLine="0"/>
        <w:rPr>
          <w:rFonts w:ascii="Times New Roman" w:hAnsi="Times New Roman" w:cs="Times New Roman"/>
          <w:szCs w:val="28"/>
          <w:lang w:val="pt-BR"/>
        </w:rPr>
      </w:pPr>
      <w:r w:rsidRPr="00CC0CE5">
        <w:rPr>
          <w:rFonts w:ascii="Times New Roman" w:hAnsi="Times New Roman" w:cs="Times New Roman"/>
          <w:szCs w:val="28"/>
        </w:rPr>
        <w:t xml:space="preserve">c) Trường hợp các phẫu thuật, thủ thuật chưa được quy định giá tối đa tại Phụ lục III kèm theo Thông tư này đồng thời cũng chưa được xếp tương đương về kỹ thuật và chi phí thực hiện: </w:t>
      </w:r>
      <w:r w:rsidRPr="00CC0CE5">
        <w:rPr>
          <w:rFonts w:ascii="Times New Roman" w:hAnsi="Times New Roman" w:cs="Times New Roman"/>
          <w:szCs w:val="28"/>
          <w:lang w:val="es-ES"/>
        </w:rPr>
        <w:t>á</w:t>
      </w:r>
      <w:r w:rsidRPr="00CC0CE5">
        <w:rPr>
          <w:rFonts w:ascii="Times New Roman" w:hAnsi="Times New Roman" w:cs="Times New Roman"/>
          <w:szCs w:val="28"/>
        </w:rPr>
        <w:t xml:space="preserve">p dụng mức giá được cơ quan có thẩm quyền quyết định </w:t>
      </w:r>
      <w:r w:rsidRPr="00CC0CE5">
        <w:rPr>
          <w:rFonts w:ascii="Times New Roman" w:hAnsi="Times New Roman" w:cs="Times New Roman"/>
          <w:szCs w:val="28"/>
          <w:lang w:val="es-ES"/>
        </w:rPr>
        <w:t>theo</w:t>
      </w:r>
      <w:r w:rsidRPr="00CC0CE5">
        <w:rPr>
          <w:rFonts w:ascii="Times New Roman" w:hAnsi="Times New Roman" w:cs="Times New Roman"/>
          <w:szCs w:val="28"/>
        </w:rPr>
        <w:t xml:space="preserve"> từng loại phẫu thuật, thủ thuật</w:t>
      </w:r>
      <w:r w:rsidRPr="00CC0CE5">
        <w:rPr>
          <w:rFonts w:ascii="Times New Roman" w:hAnsi="Times New Roman" w:cs="Times New Roman"/>
          <w:szCs w:val="28"/>
          <w:lang w:val="es-ES"/>
        </w:rPr>
        <w:t xml:space="preserve"> tại </w:t>
      </w:r>
      <w:r w:rsidRPr="00CC0CE5">
        <w:rPr>
          <w:rFonts w:ascii="Times New Roman" w:hAnsi="Times New Roman" w:cs="Times New Roman"/>
          <w:szCs w:val="28"/>
        </w:rPr>
        <w:t>mục "phẫu thuật, thủ thuật còn lại khác"</w:t>
      </w:r>
      <w:r w:rsidRPr="00CC0CE5">
        <w:rPr>
          <w:rFonts w:ascii="Times New Roman" w:hAnsi="Times New Roman" w:cs="Times New Roman"/>
          <w:szCs w:val="28"/>
          <w:lang w:val="es-ES"/>
        </w:rPr>
        <w:t xml:space="preserve"> của </w:t>
      </w:r>
      <w:r w:rsidRPr="00CC0CE5">
        <w:rPr>
          <w:rFonts w:ascii="Times New Roman" w:hAnsi="Times New Roman" w:cs="Times New Roman"/>
          <w:szCs w:val="28"/>
        </w:rPr>
        <w:t>từng chuyên khoa</w:t>
      </w:r>
      <w:r w:rsidRPr="00CC0CE5">
        <w:rPr>
          <w:rFonts w:ascii="Times New Roman" w:hAnsi="Times New Roman" w:cs="Times New Roman"/>
          <w:szCs w:val="28"/>
          <w:lang w:val="es-ES"/>
        </w:rPr>
        <w:t xml:space="preserve"> quy định tại Phụ lục III ban hành kèm theo Thông tư này.</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4. Chi phí gây mê: do có những dịch vụ khi triển khai thực hiện người bệnh có thể phải gây mê hoặc không cần phải gây mê nên chi phí gây mê của các dịch vụ ban hành kèm theo Thông tư này được quy định như sau:</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a) Giá tối đa của các phẫu thuật quy định tại các chuyên khoa đã bao gồm chi phí gây mê. Riêng phẫu thuật thuộc chuyên khoa Mắt chưa bao gồm chi phí gây mê;</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b) Giá tối đa của các thủ thuật đã bao gồm chi phí thuốc gây tê, an thần tiền mê, chưa bao gồm chi phí gây mê (trừ một số trường hợp đã ghi chú cụ thể);</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 xml:space="preserve">c) </w:t>
      </w:r>
      <w:r w:rsidRPr="00CC0CE5">
        <w:rPr>
          <w:rFonts w:ascii="Times New Roman" w:hAnsi="Times New Roman"/>
          <w:szCs w:val="28"/>
          <w:lang w:val="vi-VN"/>
        </w:rPr>
        <w:t>T</w:t>
      </w:r>
      <w:r w:rsidRPr="00CC0CE5">
        <w:rPr>
          <w:rFonts w:ascii="Times New Roman" w:hAnsi="Times New Roman"/>
          <w:szCs w:val="28"/>
          <w:lang w:val="pt-BR"/>
        </w:rPr>
        <w:t>rường hợp khi thực hiện phẫu thuật chuyên khoa Mắt hoặc thực hiện các thủ thuật của các chuyên khoa khác mà người bệnh cần phải gây mê (do bác sỹ chuyên khoa gây mê thực hiện) thì được tính thêm chi phí của dịch vụ gây mê (dịch vụ số 1250 Phụ lục III) khi thực hiện dịch vụ.</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5. Trong trường hợp thực hiện nhiều can thiệp trong cùng một lần phẫu thuật, thực hiện thanh toán theo giá của dịch vụ kỹ thuật phức tạp nhất, có mức giá cao nhất và các dịch vụ kỹ thuật khác phát sinh trong cùng một lần phẫu thuật được thanh toán như sau:</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a) Bằng 50% giá của các dịch vụ kỹ thuật phát sinh nếu kỹ thuật đó vẫn do một kíp phẫu thuật thực hiện;</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b) Bằng 80% giá của các dịch vụ kỹ thuật phát sinh nếu kỹ thuật đó phải thay kíp phẫu thuật khác để thực hiện;</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c) Trường hợp dịch vụ phát sinh là các thủ thuật thì thanh toán 100% giá của dịch vụ phát sinh.</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6. Đối với dịch vụ thay băng:</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 xml:space="preserve">a) </w:t>
      </w:r>
      <w:r w:rsidRPr="00CC0CE5">
        <w:rPr>
          <w:rFonts w:ascii="Times New Roman" w:hAnsi="Times New Roman"/>
          <w:szCs w:val="28"/>
          <w:lang w:val="vi-VN"/>
        </w:rPr>
        <w:t xml:space="preserve">Dịch vụ </w:t>
      </w:r>
      <w:r w:rsidRPr="00CC0CE5">
        <w:rPr>
          <w:rFonts w:ascii="Times New Roman" w:hAnsi="Times New Roman"/>
          <w:szCs w:val="28"/>
          <w:lang w:val="pt-BR"/>
        </w:rPr>
        <w:t>“T</w:t>
      </w:r>
      <w:r w:rsidRPr="00CC0CE5">
        <w:rPr>
          <w:rFonts w:ascii="Times New Roman" w:hAnsi="Times New Roman"/>
          <w:szCs w:val="28"/>
          <w:lang w:val="vi-VN"/>
        </w:rPr>
        <w:t>hay băng vết thương</w:t>
      </w:r>
      <w:r w:rsidRPr="00CC0CE5">
        <w:rPr>
          <w:rFonts w:ascii="Times New Roman" w:hAnsi="Times New Roman"/>
          <w:szCs w:val="28"/>
          <w:lang w:val="pt-BR"/>
        </w:rPr>
        <w:t xml:space="preserve"> hoặc vết mổ</w:t>
      </w:r>
      <w:r w:rsidRPr="00CC0CE5">
        <w:rPr>
          <w:rFonts w:ascii="Times New Roman" w:hAnsi="Times New Roman"/>
          <w:szCs w:val="28"/>
          <w:lang w:val="vi-VN"/>
        </w:rPr>
        <w:t xml:space="preserve"> chiều dài ≤15 cm</w:t>
      </w:r>
      <w:r w:rsidRPr="00CC0CE5">
        <w:rPr>
          <w:rFonts w:ascii="Times New Roman" w:hAnsi="Times New Roman"/>
          <w:szCs w:val="28"/>
          <w:lang w:val="pt-BR"/>
        </w:rPr>
        <w:t>”</w:t>
      </w:r>
      <w:r w:rsidRPr="00CC0CE5">
        <w:rPr>
          <w:rFonts w:ascii="Times New Roman" w:hAnsi="Times New Roman"/>
          <w:szCs w:val="28"/>
          <w:lang w:val="vi-VN"/>
        </w:rPr>
        <w:t xml:space="preserve">: </w:t>
      </w:r>
      <w:r w:rsidRPr="00CC0CE5">
        <w:rPr>
          <w:rFonts w:ascii="Times New Roman" w:hAnsi="Times New Roman"/>
          <w:szCs w:val="28"/>
          <w:lang w:val="es-ES"/>
        </w:rPr>
        <w:t xml:space="preserve">chỉ thanh toán </w:t>
      </w:r>
      <w:r w:rsidRPr="00CC0CE5">
        <w:rPr>
          <w:rFonts w:ascii="Times New Roman" w:hAnsi="Times New Roman"/>
          <w:szCs w:val="28"/>
          <w:lang w:val="pt-BR"/>
        </w:rPr>
        <w:t>đ</w:t>
      </w:r>
      <w:r w:rsidRPr="00CC0CE5">
        <w:rPr>
          <w:rFonts w:ascii="Times New Roman" w:hAnsi="Times New Roman"/>
          <w:szCs w:val="28"/>
          <w:lang w:val="vi-VN"/>
        </w:rPr>
        <w:t xml:space="preserve">ối với người bệnh điều trị </w:t>
      </w:r>
      <w:r w:rsidRPr="00CC0CE5">
        <w:rPr>
          <w:rFonts w:ascii="Times New Roman" w:hAnsi="Times New Roman"/>
          <w:szCs w:val="28"/>
          <w:lang w:val="es-ES"/>
        </w:rPr>
        <w:t>nội trú trong các trường hợp sau: vết thương/mổ nhiễm trùng; vết thương có thấm dịch, máu trong các tổn thương lóc da, hở da diện tích trên 6 cm</w:t>
      </w:r>
      <w:r w:rsidRPr="00CC0CE5">
        <w:rPr>
          <w:rFonts w:ascii="Times New Roman" w:hAnsi="Times New Roman"/>
          <w:szCs w:val="28"/>
          <w:vertAlign w:val="superscript"/>
          <w:lang w:val="es-ES"/>
        </w:rPr>
        <w:t>2</w:t>
      </w:r>
      <w:r w:rsidRPr="00CC0CE5">
        <w:rPr>
          <w:rFonts w:ascii="Times New Roman" w:hAnsi="Times New Roman"/>
          <w:szCs w:val="28"/>
          <w:lang w:val="es-ES"/>
        </w:rPr>
        <w:t>; vết thương đã có chèn gạc; vết thương chân ống dẫn lưu chảy dịch nhiều; đa vết thương/mổ; hoặc sau 1 phẫu thuật nhưng phải thực hiện từ hai đường mổ trở lên; không áp dụng đối với thay băng của các trường hợp sau: phẫu thuật nội soi, thay băng vết mổ, vết thương thông thường, thay băng rốn sơ sinh</w:t>
      </w:r>
      <w:r w:rsidRPr="00CC0CE5">
        <w:rPr>
          <w:rFonts w:ascii="Times New Roman" w:hAnsi="Times New Roman"/>
          <w:szCs w:val="28"/>
        </w:rPr>
        <w:t>;</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b) Dịch vụ “Thay băng vết mổ có chiều dài trên 15 cm đến 30 cm” trong điều trị nội trú chỉ áp dụng đối với một số trường hợp sau:</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 Vết mổ nhiễm trùng, rò tiêu hóa, rò mật, rò nước tiểu;</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 Vết mổ sau phẫu thuật nhiễm khuẩn (viêm phúc mạc bụng hoặc viêm xương hoặc áp xe), vết mổ sau phẫu thuật ống tiêu hóa hoặc hệ tiết niệu hoặc đường mật hoặc bụng cổ chướng;</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 Vết mổ sau một phẫu thuật nhưng phải thực hiện từ hai đường mổ trở lên;</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 Trường hợp phẫu thuật mổ lấy thai: được áp dụng mức giá này nhưng tối đa không quá 03 lần.</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c) Trường hợp “thay băng vết thương có chiều dài trên 15 cm đến 30 cm”: thực hiện theo mức giá quy định tại Thông tư này.</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eastAsia="ko-KR"/>
        </w:rPr>
        <w:t xml:space="preserve">7. </w:t>
      </w:r>
      <w:r w:rsidRPr="00CC0CE5">
        <w:rPr>
          <w:rFonts w:ascii="Times New Roman" w:hAnsi="Times New Roman"/>
          <w:szCs w:val="28"/>
          <w:lang w:val="pt-BR"/>
        </w:rPr>
        <w:t>Dịch vụ định nhóm máu ABO trong truyền máu đối với các xét nghiệm số 1300, 1301, 1302 quy định tại Phụ lục III của Thông tư này:</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a) Định nhóm máu hệ ABO tại khoa xét nghiệm khi phát máu toàn phần và các chế phẩm khối hồng cầu, khối bạch cầu, khối tiểu cầu, huyết tương:</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Định nhóm máu cho người bệnh: thanh toán 1 lần theo giá dịch vụ số thứ tự 1302 </w:t>
      </w:r>
      <w:r w:rsidRPr="00CC0CE5">
        <w:rPr>
          <w:rFonts w:ascii="Times New Roman" w:hAnsi="Times New Roman"/>
          <w:szCs w:val="28"/>
          <w:lang w:val="pt-BR"/>
        </w:rPr>
        <w:t xml:space="preserve">quy định tại Phụ lục III Thông tư này </w:t>
      </w:r>
      <w:r w:rsidRPr="00CC0CE5">
        <w:rPr>
          <w:rFonts w:ascii="Times New Roman" w:hAnsi="Times New Roman"/>
          <w:szCs w:val="28"/>
          <w:lang w:val="pt-BR" w:eastAsia="ko-KR"/>
        </w:rPr>
        <w:t>(do mức giá tối đa của dịch vụ 1302 đã tính chi phí của 2 lần định nhóm máu hệ ABO trên cùng một mẫu máu hoặc 2 mẫu máu của cùng một người bệnh bằng 2 phương pháp huyết thanh mẫu và hồng cầu mẫu);</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Định nhóm máu hệ ABO của đơn vị túi máu, đơn vị chế phẩm máu: thanh toán 01 lần theo giá dịch vụ số thứ tự 1300 </w:t>
      </w:r>
      <w:r w:rsidRPr="00CC0CE5">
        <w:rPr>
          <w:rFonts w:ascii="Times New Roman" w:hAnsi="Times New Roman"/>
          <w:szCs w:val="28"/>
          <w:lang w:val="pt-BR"/>
        </w:rPr>
        <w:t>quy định tại Phụ lục III của Thông tư này</w:t>
      </w:r>
      <w:r w:rsidRPr="00CC0CE5">
        <w:rPr>
          <w:rFonts w:ascii="Times New Roman" w:hAnsi="Times New Roman"/>
          <w:szCs w:val="28"/>
          <w:lang w:val="pt-BR" w:eastAsia="ko-KR"/>
        </w:rPr>
        <w:t>;</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1300 </w:t>
      </w:r>
      <w:r w:rsidRPr="00CC0CE5">
        <w:rPr>
          <w:rFonts w:ascii="Times New Roman" w:hAnsi="Times New Roman"/>
          <w:szCs w:val="28"/>
          <w:lang w:val="pt-BR"/>
        </w:rPr>
        <w:t>quy định tại Phụ lục III của Thông tư này</w:t>
      </w:r>
      <w:r w:rsidRPr="00CC0CE5">
        <w:rPr>
          <w:rFonts w:ascii="Times New Roman" w:hAnsi="Times New Roman"/>
          <w:szCs w:val="28"/>
          <w:lang w:val="pt-BR" w:eastAsia="ko-KR"/>
        </w:rPr>
        <w:t>. Trường hợp này không phải xác định nhóm máu hệ ABO của bệnh nhân do bệnh nhân đã được xác định nhóm máu hệ ABO khi phát đơn vị máu hoặc đơn vị chế phẩm thứ nhất.</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b) Xét nghiệm định nhóm máu hệ ABO tại giường bệnh:</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Định nhóm máu hệ ABO tại giường bệnh khi người bệnh được truyền máu toàn phần hoặc khối hồng cầu hoặc khối bạch cầu: thanh toán 01 lần theo giá dịch vụ có số thứ tự 1300 </w:t>
      </w:r>
      <w:r w:rsidRPr="00CC0CE5">
        <w:rPr>
          <w:rFonts w:ascii="Times New Roman" w:hAnsi="Times New Roman"/>
          <w:szCs w:val="28"/>
          <w:lang w:val="pt-BR"/>
        </w:rPr>
        <w:t>quy định tại Phụ lục III của Thông tư này</w:t>
      </w:r>
      <w:r w:rsidRPr="00CC0CE5">
        <w:rPr>
          <w:rFonts w:ascii="Times New Roman" w:hAnsi="Times New Roman"/>
          <w:szCs w:val="28"/>
          <w:lang w:val="pt-BR" w:eastAsia="ko-KR"/>
        </w:rPr>
        <w:t>;</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Định nhóm máu hệ ABO tại giường bệnh khi người bệnh được truyền chế phẩm huyết tương, khối tiểu cầu: thanh toán 01 lần theo giá dịch vụ có số thứ tự 1301 </w:t>
      </w:r>
      <w:r w:rsidRPr="00CC0CE5">
        <w:rPr>
          <w:rFonts w:ascii="Times New Roman" w:hAnsi="Times New Roman"/>
          <w:szCs w:val="28"/>
          <w:lang w:val="pt-BR"/>
        </w:rPr>
        <w:t>quy định tại Phụ lục III của Thông tư này</w:t>
      </w:r>
      <w:r w:rsidRPr="00CC0CE5">
        <w:rPr>
          <w:rFonts w:ascii="Times New Roman" w:hAnsi="Times New Roman"/>
          <w:szCs w:val="28"/>
          <w:lang w:val="pt-BR" w:eastAsia="ko-KR"/>
        </w:rPr>
        <w:t>;</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Trường hợp tại cùng một thời điểm người bệnh được truyền nhiều đơn vị máu, đơn vị chế phẩm thì bắt đầu từ đơn vị máu hoặc đơn vị chế phẩm thứ 2 trở đi cứ phát thêm một đơn vị máu toàn phần hoặc khối hồng cầu hoặc khối bạch cầu thì thanh toán thêm 01 lần định nhóm máu tại giường bệnh theo mức giá dịch vụ có số thứ tự 1302 </w:t>
      </w:r>
      <w:r w:rsidRPr="00CC0CE5">
        <w:rPr>
          <w:rFonts w:ascii="Times New Roman" w:hAnsi="Times New Roman"/>
          <w:szCs w:val="28"/>
          <w:lang w:val="pt-BR"/>
        </w:rPr>
        <w:t>quy định tại Phụ lục III của Thông tư này</w:t>
      </w:r>
      <w:r w:rsidRPr="00CC0CE5">
        <w:rPr>
          <w:rFonts w:ascii="Times New Roman" w:hAnsi="Times New Roman"/>
          <w:szCs w:val="28"/>
          <w:lang w:val="pt-BR" w:eastAsia="ko-KR"/>
        </w:rPr>
        <w:t>. Trường hợp này không phải xác định nhóm máu hệ ABO của bệnh nhân do bệnh nhân đã được xác định nhóm máu hệ ABO khi truyền đơn vị máu hoặc đơn vị chế phẩm thứ nhất;</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 xml:space="preserve">- Mức giá của các dịch vụ định nhóm máu ABO từ số thứ tự 1300, </w:t>
      </w:r>
      <w:r w:rsidRPr="00CC0CE5">
        <w:rPr>
          <w:rFonts w:ascii="Times New Roman" w:hAnsi="Times New Roman"/>
          <w:szCs w:val="28"/>
          <w:lang w:val="pt-BR"/>
        </w:rPr>
        <w:t xml:space="preserve">1301, 1302 quy định tại Phụ lục III của Thông tư này </w:t>
      </w:r>
      <w:r w:rsidRPr="00CC0CE5">
        <w:rPr>
          <w:rFonts w:ascii="Times New Roman" w:hAnsi="Times New Roman"/>
          <w:szCs w:val="28"/>
          <w:lang w:val="pt-BR" w:eastAsia="ko-KR"/>
        </w:rPr>
        <w:t>được quy định chung cho các phương pháp ống nghiệm, phiến đá hoặc trên giấy.</w:t>
      </w:r>
    </w:p>
    <w:p w:rsidR="00CC0CE5" w:rsidRPr="00CC0CE5" w:rsidRDefault="00CC0CE5" w:rsidP="00CC0CE5">
      <w:pPr>
        <w:spacing w:beforeLines="50" w:before="120" w:afterLines="50" w:after="120" w:line="312" w:lineRule="auto"/>
        <w:jc w:val="both"/>
        <w:rPr>
          <w:rFonts w:ascii="Times New Roman" w:hAnsi="Times New Roman"/>
          <w:szCs w:val="28"/>
          <w:lang w:val="pt-BR" w:eastAsia="ko-KR"/>
        </w:rPr>
      </w:pPr>
      <w:r w:rsidRPr="00CC0CE5">
        <w:rPr>
          <w:rFonts w:ascii="Times New Roman" w:hAnsi="Times New Roman"/>
          <w:szCs w:val="28"/>
          <w:lang w:val="pt-BR" w:eastAsia="ko-KR"/>
        </w:rPr>
        <w:t>8. Đối với xét nghiệm hòa hợp miễn dịch ở nhiệt độ 37ºC và có sử dụng huyết thanh kháng globulin (nghiệm pháp Coombs gián tiếp) trong truyền máu: Thanh toán theo giá của dịch vụ “Phản ứng hòa hợp có sử dụng kháng globulin người” có số thứ tự 1358 hoặc 1359 quy định tại Thông tư này.</w:t>
      </w:r>
    </w:p>
    <w:p w:rsidR="00CC0CE5" w:rsidRPr="00CC0CE5" w:rsidRDefault="00CC0CE5" w:rsidP="00CC0CE5">
      <w:pPr>
        <w:spacing w:beforeLines="50" w:before="120" w:afterLines="50" w:after="120" w:line="312" w:lineRule="auto"/>
        <w:jc w:val="both"/>
        <w:rPr>
          <w:rFonts w:ascii="Times New Roman" w:hAnsi="Times New Roman"/>
          <w:b/>
          <w:bCs/>
          <w:szCs w:val="28"/>
          <w:lang w:val="pt-BR"/>
        </w:rPr>
      </w:pPr>
      <w:bookmarkStart w:id="12" w:name="dieu_7"/>
      <w:r w:rsidRPr="00CC0CE5">
        <w:rPr>
          <w:rFonts w:ascii="Times New Roman" w:hAnsi="Times New Roman"/>
          <w:b/>
          <w:bCs/>
          <w:szCs w:val="28"/>
          <w:lang w:val="pt-BR"/>
        </w:rPr>
        <w:t>Điều 7. Tổ chức thực hiện</w:t>
      </w:r>
      <w:bookmarkEnd w:id="12"/>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bCs/>
          <w:szCs w:val="28"/>
          <w:lang w:val="pt-BR"/>
        </w:rPr>
        <w:t xml:space="preserve">1. Ngân sách </w:t>
      </w:r>
      <w:r w:rsidRPr="00CC0CE5">
        <w:rPr>
          <w:rFonts w:ascii="Times New Roman" w:hAnsi="Times New Roman"/>
          <w:szCs w:val="28"/>
          <w:lang w:val="pt-BR"/>
        </w:rPr>
        <w:t>bảo đảm kinh phí theo phân cấp ngân sách hiện hành đối với:</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a) Các khoản chi theo chế độ quy định tại các văn bản nêu tại khoản 3 Điều 2 Thông tư này;</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b) Trường hợp nguồn tài chính của đơn vị không đảm bảo hoạt động thường xuyên, đơn vị được cơ quan có thẩm quyền phân loại là đơn vị sự nghiệp công tự bảo đảm một phần chi thường xuyên hoặc đơn vị sự nghiệp công do nhà nước bảo đảm chi thường xuyên.</w:t>
      </w:r>
    </w:p>
    <w:p w:rsidR="00CC0CE5" w:rsidRPr="00CC0CE5" w:rsidRDefault="00CC0CE5" w:rsidP="00CC0CE5">
      <w:pPr>
        <w:spacing w:beforeLines="50" w:before="120" w:afterLines="50" w:after="120" w:line="312" w:lineRule="auto"/>
        <w:jc w:val="both"/>
        <w:rPr>
          <w:rFonts w:ascii="Times New Roman" w:hAnsi="Times New Roman"/>
          <w:bCs/>
          <w:szCs w:val="28"/>
          <w:lang w:val="pt-BR"/>
        </w:rPr>
      </w:pPr>
      <w:r w:rsidRPr="00CC0CE5">
        <w:rPr>
          <w:rFonts w:ascii="Times New Roman" w:hAnsi="Times New Roman"/>
          <w:bCs/>
          <w:szCs w:val="28"/>
          <w:lang w:val="pt-BR"/>
        </w:rPr>
        <w:t>2. Trách nhiệm của Bộ Y tế:</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a) Giao Vụ Kế hoạch - Tài chính làm đầu mối, phối hợp với các đơn vị có liên quan tổ chức triển khai, kiểm tra, sơ kết, tổng kết việc thực hiện Thông tư này trên phạm vi toàn quốc;</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bCs/>
          <w:szCs w:val="28"/>
          <w:lang w:val="pt-BR"/>
        </w:rPr>
        <w:t>b) T</w:t>
      </w:r>
      <w:r w:rsidRPr="00CC0CE5">
        <w:rPr>
          <w:rFonts w:ascii="Times New Roman" w:hAnsi="Times New Roman"/>
          <w:szCs w:val="28"/>
          <w:lang w:val="es-ES"/>
        </w:rPr>
        <w:t>hống nhất với Bộ Tài chính để xem xét, điều chỉnh mức tối đa khung giá của các dịch vụ khám bệnh, chữa bệnh quy định tại các phụ lục ban hành kèm theo Thông tư này khi bổ sung các yếu tố hình thành giá theo lộ trình, điều chỉnh định mức kinh tế kỹ thuật hoặc chi phí của các yếu tố hình thành giá thay đổi.</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bCs/>
          <w:szCs w:val="28"/>
          <w:lang w:val="pt-BR"/>
        </w:rPr>
        <w:t xml:space="preserve">3. Trách nhiệm của </w:t>
      </w:r>
      <w:r w:rsidRPr="00CC0CE5">
        <w:rPr>
          <w:rFonts w:ascii="Times New Roman" w:hAnsi="Times New Roman"/>
          <w:szCs w:val="28"/>
          <w:lang w:val="es-ES"/>
        </w:rPr>
        <w:t>Sở Y tế:</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 xml:space="preserve">a) </w:t>
      </w:r>
      <w:r w:rsidRPr="00CC0CE5">
        <w:rPr>
          <w:rFonts w:ascii="Times New Roman" w:hAnsi="Times New Roman"/>
          <w:szCs w:val="28"/>
          <w:lang w:val="pt-BR"/>
        </w:rPr>
        <w:t>Chủ trì, phối hợp với các đơn vị có liên quan tổ chức triển khai, kiểm tra, sơ kết, tổng kết việc thực hiện Thông tư này trên địa bàn quản lý;</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es-ES"/>
        </w:rPr>
        <w:t>b) Chủ trì, thống nhất với Sở Tài chính</w:t>
      </w:r>
      <w:r w:rsidRPr="00CC0CE5">
        <w:rPr>
          <w:rFonts w:ascii="Times New Roman" w:hAnsi="Times New Roman"/>
          <w:szCs w:val="28"/>
          <w:lang w:val="vi-VN"/>
        </w:rPr>
        <w:t xml:space="preserve"> báo cáo Ủy ban nhân dân cấp tỉnh</w:t>
      </w:r>
      <w:r w:rsidRPr="00CC0CE5">
        <w:rPr>
          <w:rFonts w:ascii="Times New Roman" w:hAnsi="Times New Roman"/>
          <w:szCs w:val="28"/>
          <w:lang w:val="es-ES"/>
        </w:rPr>
        <w:t xml:space="preserve"> để trình </w:t>
      </w:r>
      <w:r w:rsidRPr="00CC0CE5">
        <w:rPr>
          <w:rFonts w:ascii="Times New Roman" w:hAnsi="Times New Roman"/>
          <w:szCs w:val="28"/>
          <w:lang w:val="vi-VN"/>
        </w:rPr>
        <w:t>Hội đồng nhân dân cấp tỉnh xem xét, quyết định</w:t>
      </w:r>
      <w:r w:rsidRPr="00CC0CE5">
        <w:rPr>
          <w:rFonts w:ascii="Times New Roman" w:hAnsi="Times New Roman"/>
          <w:szCs w:val="28"/>
          <w:lang w:val="es-ES"/>
        </w:rPr>
        <w:t xml:space="preserve"> giá dịch vụ và thời điểm thực hiện theo quy định tại khoản 2 Điều 9 của Thông tư này đối với các cơ sở khám bệnh, chữa bệnh thuộc thẩm quyền quản lý của địa phương.</w:t>
      </w:r>
    </w:p>
    <w:p w:rsidR="00CC0CE5" w:rsidRPr="00CC0CE5" w:rsidRDefault="00CC0CE5" w:rsidP="00CC0CE5">
      <w:pPr>
        <w:spacing w:beforeLines="50" w:before="120" w:afterLines="50" w:after="120" w:line="312" w:lineRule="auto"/>
        <w:jc w:val="both"/>
        <w:rPr>
          <w:rFonts w:ascii="Times New Roman" w:hAnsi="Times New Roman"/>
          <w:b/>
          <w:bCs/>
          <w:szCs w:val="28"/>
          <w:lang w:val="pt-BR"/>
        </w:rPr>
      </w:pPr>
      <w:bookmarkStart w:id="13" w:name="dieu_8"/>
      <w:r w:rsidRPr="00CC0CE5">
        <w:rPr>
          <w:rFonts w:ascii="Times New Roman" w:hAnsi="Times New Roman"/>
          <w:b/>
          <w:bCs/>
          <w:szCs w:val="28"/>
          <w:lang w:val="pt-BR"/>
        </w:rPr>
        <w:t>Điều 8. Điều khoản tham chiếu</w:t>
      </w:r>
      <w:bookmarkEnd w:id="13"/>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sv-SE"/>
        </w:rPr>
        <w:t>Trường hợp các văn bản được dẫn chiếu trong Thông tư này bị thay thế hoặc sửa đổi, bổ sung thì thực hiện theo văn bản thay thế hoặc văn bản đã được sửa đổi, bổ sung đó.</w:t>
      </w:r>
    </w:p>
    <w:p w:rsidR="00CC0CE5" w:rsidRPr="00CC0CE5" w:rsidRDefault="00CC0CE5" w:rsidP="00CC0CE5">
      <w:pPr>
        <w:spacing w:beforeLines="50" w:before="120" w:afterLines="50" w:after="120" w:line="312" w:lineRule="auto"/>
        <w:jc w:val="both"/>
        <w:rPr>
          <w:rFonts w:ascii="Times New Roman" w:hAnsi="Times New Roman"/>
          <w:b/>
          <w:bCs/>
          <w:szCs w:val="28"/>
          <w:lang w:val="pt-BR"/>
        </w:rPr>
      </w:pPr>
      <w:bookmarkStart w:id="14" w:name="dieu_9"/>
      <w:r w:rsidRPr="00CC0CE5">
        <w:rPr>
          <w:rFonts w:ascii="Times New Roman" w:hAnsi="Times New Roman"/>
          <w:b/>
          <w:bCs/>
          <w:szCs w:val="28"/>
          <w:lang w:val="pt-BR"/>
        </w:rPr>
        <w:t>Điều 9. Điều khoản thi hành</w:t>
      </w:r>
      <w:bookmarkEnd w:id="14"/>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1. Thông tư này có hiệu lực thi hành từ ngày 01 tháng 6 năm 2017.</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2. Cơ quan có thẩm quyền quyết định mức giá quy định tại khoản 2 Điều 3 Thông tư này quyết định mức giá và thời điểm thực hiện cho các cơ sở khám bệnh, chữa bệnh theo quy định sau:</w:t>
      </w:r>
    </w:p>
    <w:p w:rsidR="00CC0CE5" w:rsidRPr="00CC0CE5" w:rsidRDefault="00CC0CE5" w:rsidP="00CC0CE5">
      <w:pPr>
        <w:spacing w:beforeLines="50" w:before="120" w:afterLines="50" w:after="120" w:line="312" w:lineRule="auto"/>
        <w:jc w:val="both"/>
        <w:rPr>
          <w:rFonts w:ascii="Times New Roman" w:hAnsi="Times New Roman"/>
          <w:szCs w:val="28"/>
          <w:lang w:val="es-ES"/>
        </w:rPr>
      </w:pPr>
      <w:r w:rsidRPr="00CC0CE5">
        <w:rPr>
          <w:rFonts w:ascii="Times New Roman" w:hAnsi="Times New Roman"/>
          <w:szCs w:val="28"/>
          <w:lang w:val="pt-BR"/>
        </w:rPr>
        <w:t>a)</w:t>
      </w:r>
      <w:r w:rsidRPr="00CC0CE5">
        <w:rPr>
          <w:rFonts w:ascii="Times New Roman" w:hAnsi="Times New Roman"/>
          <w:szCs w:val="28"/>
          <w:lang w:val="es-ES"/>
        </w:rPr>
        <w:t xml:space="preserve"> Các cơ sở khám bệnh, chữa bệnh được cơ quan có thẩm quyền phân loại là đơn vị tự bảo đảm chi thường xuyên, đơn vị tự bảo đảm chi thường xuyên và chi đầu tư: thời điểm thực hiện kể từ ngày 01 tháng 6 năm 2017;</w:t>
      </w:r>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es-ES"/>
        </w:rPr>
        <w:t>b) Các cơ sở khám bệnh, chữa bệnh được cơ quan có thẩm quyền phân loại là đơn vị tự bảo đảm một phần chi thường xuyên hoặc đơn vị do ngân sách nhà nước bảo đảm chi thường xuyên: thời điểm thực hiện vào tháng 8, tháng 10 hoặc tháng 12 năm 2017 và phải thực hiện trong năm 2017.</w:t>
      </w:r>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sv-SE"/>
        </w:rPr>
        <w:t>3. Các văn bản sau đây hết hiệu lực thi hành kể từ ngày 01 tháng 01 năm 2018:</w:t>
      </w:r>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sv-SE"/>
        </w:rPr>
        <w:t xml:space="preserve">a) </w:t>
      </w:r>
      <w:r w:rsidRPr="00CC0CE5">
        <w:rPr>
          <w:rFonts w:ascii="Times New Roman" w:hAnsi="Times New Roman"/>
          <w:szCs w:val="28"/>
          <w:lang w:val="vi-VN"/>
        </w:rPr>
        <w:t>Thông tư liên bộ số 14/TTLB ngày 30 tháng 9 năm 1995 của liên Bộ Y tế - Tài chính -Lao động - Thương binh và Xã hội - Ban Vật giá Chính phủ hướng dẫn thực hiện việc thu một phần viện phí</w:t>
      </w:r>
      <w:r w:rsidRPr="00CC0CE5">
        <w:rPr>
          <w:rFonts w:ascii="Times New Roman" w:hAnsi="Times New Roman"/>
          <w:szCs w:val="28"/>
          <w:lang w:val="sv-SE"/>
        </w:rPr>
        <w:t>;</w:t>
      </w:r>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sv-SE"/>
        </w:rPr>
        <w:t xml:space="preserve">b) Thông tư liên tịch số </w:t>
      </w:r>
      <w:r w:rsidRPr="00CC0CE5">
        <w:rPr>
          <w:rFonts w:ascii="Times New Roman" w:hAnsi="Times New Roman"/>
          <w:szCs w:val="28"/>
          <w:lang w:val="vi-VN"/>
        </w:rPr>
        <w:t>03/2006/TTLT-BYT-BTC-BLĐTB&amp;XH ngày 26 tháng 01 năm 2006 của Bộ Y tế - Bộ Tài chính - Bộ Lao động - Thương binh và Xã hội bổ sung Thông tư liên bộ số 14/TTLB ngày 30 tháng 9 năm 1995 của liên Bộ Y tế - Tài chính -</w:t>
      </w:r>
      <w:r w:rsidRPr="00CC0CE5">
        <w:rPr>
          <w:rFonts w:ascii="Times New Roman" w:hAnsi="Times New Roman"/>
          <w:szCs w:val="28"/>
        </w:rPr>
        <w:t xml:space="preserve"> </w:t>
      </w:r>
      <w:r w:rsidRPr="00CC0CE5">
        <w:rPr>
          <w:rFonts w:ascii="Times New Roman" w:hAnsi="Times New Roman"/>
          <w:szCs w:val="28"/>
          <w:lang w:val="vi-VN"/>
        </w:rPr>
        <w:t>Lao động - Thương binh và Xã hội - Ban Vật giá Chính phủ hướng dẫn thực hiện việc thu một phần viện phí</w:t>
      </w:r>
      <w:r w:rsidRPr="00CC0CE5">
        <w:rPr>
          <w:rFonts w:ascii="Times New Roman" w:hAnsi="Times New Roman"/>
          <w:szCs w:val="28"/>
          <w:lang w:val="sv-SE"/>
        </w:rPr>
        <w:t>;</w:t>
      </w:r>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sv-SE"/>
        </w:rPr>
        <w:t>c) Thông tư liên tịch số 04/2012/TTLT-BYT-BTC ngày 29 tháng 02 năm 2012 của Bộ Y tế - Bộ Tài chính ban hành mức tối đa khung giá một số dịch vụ khám bệnh, chữa bệnh trong các cơ sở y tế của Nhà nước;</w:t>
      </w:r>
    </w:p>
    <w:p w:rsidR="00CC0CE5" w:rsidRPr="00CC0CE5" w:rsidRDefault="00CC0CE5" w:rsidP="00CC0CE5">
      <w:pPr>
        <w:spacing w:beforeLines="50" w:before="120" w:afterLines="50" w:after="120" w:line="312" w:lineRule="auto"/>
        <w:jc w:val="both"/>
        <w:rPr>
          <w:rFonts w:ascii="Times New Roman" w:hAnsi="Times New Roman"/>
          <w:szCs w:val="28"/>
          <w:lang w:val="sv-SE"/>
        </w:rPr>
      </w:pPr>
      <w:r w:rsidRPr="00CC0CE5">
        <w:rPr>
          <w:rFonts w:ascii="Times New Roman" w:hAnsi="Times New Roman"/>
          <w:szCs w:val="28"/>
          <w:lang w:val="sv-SE"/>
        </w:rPr>
        <w:t xml:space="preserve">d) Thông tư số 04/2013/TT-BYT ngày 21 tháng 01 năm 2013 của Bộ trưởng Bộ Y tế hướng dẫn việc phê duyệt và áp dụng giá dịch vụ khám bệnh, chữa bệnh đối với các cơ sở khám bệnh, chữa bệnh </w:t>
      </w:r>
      <w:r w:rsidRPr="00CC0CE5">
        <w:rPr>
          <w:rFonts w:ascii="Times New Roman" w:hAnsi="Times New Roman"/>
          <w:bCs/>
          <w:szCs w:val="28"/>
          <w:lang w:val="sv-SE"/>
        </w:rPr>
        <w:t>của Nhà nước thuộc các bộ, ngành khác quản lý</w:t>
      </w:r>
      <w:r w:rsidRPr="00CC0CE5">
        <w:rPr>
          <w:rFonts w:ascii="Times New Roman" w:hAnsi="Times New Roman"/>
          <w:szCs w:val="28"/>
          <w:lang w:val="sv-SE"/>
        </w:rPr>
        <w:t>.</w:t>
      </w:r>
    </w:p>
    <w:p w:rsidR="00CC0CE5" w:rsidRPr="00CC0CE5" w:rsidRDefault="00CC0CE5" w:rsidP="00CC0CE5">
      <w:pPr>
        <w:spacing w:beforeLines="50" w:before="120" w:afterLines="50" w:after="120" w:line="312" w:lineRule="auto"/>
        <w:jc w:val="both"/>
        <w:rPr>
          <w:rFonts w:ascii="Times New Roman" w:hAnsi="Times New Roman"/>
          <w:b/>
          <w:szCs w:val="28"/>
          <w:lang w:val="pt-BR"/>
        </w:rPr>
      </w:pPr>
      <w:bookmarkStart w:id="15" w:name="dieu_10"/>
      <w:r w:rsidRPr="00CC0CE5">
        <w:rPr>
          <w:rFonts w:ascii="Times New Roman" w:hAnsi="Times New Roman"/>
          <w:b/>
          <w:szCs w:val="28"/>
          <w:lang w:val="pt-BR"/>
        </w:rPr>
        <w:t>Điều 10. Điều khoản chuyển tiếp</w:t>
      </w:r>
      <w:bookmarkEnd w:id="15"/>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pt-BR"/>
        </w:rPr>
        <w:t>Đối với người bệnh đang điều trị tại cơ sở khám bệnh, chữa bệnh trước thời điểm thực hiện mức giá theo quy định tại Thông tư này và ra viện hoặc kết thúc đợt điều trị ngoại trú sau thời điểm thực hiện mức giá quy định tại Thông tư này: tiếp tục được áp dụng mức giá theo quy định của cấp có thẩm quyền trước thời điểm thực hiện mức giá theo quy định tại Thông tư này cho đến khi ra viện hoặc kết thúc đợt điều trị ngoại trú.</w:t>
      </w:r>
    </w:p>
    <w:p w:rsidR="00CC0CE5" w:rsidRPr="00CC0CE5" w:rsidRDefault="00CC0CE5" w:rsidP="00CC0CE5">
      <w:pPr>
        <w:spacing w:beforeLines="50" w:before="120" w:afterLines="50" w:after="120" w:line="312" w:lineRule="auto"/>
        <w:jc w:val="both"/>
        <w:rPr>
          <w:rFonts w:ascii="Times New Roman" w:hAnsi="Times New Roman"/>
          <w:szCs w:val="28"/>
          <w:lang w:val="pt-BR"/>
        </w:rPr>
      </w:pPr>
      <w:r w:rsidRPr="00CC0CE5">
        <w:rPr>
          <w:rFonts w:ascii="Times New Roman" w:hAnsi="Times New Roman"/>
          <w:szCs w:val="28"/>
          <w:lang w:val="vi-VN"/>
        </w:rPr>
        <w:t xml:space="preserve">Trong quá trình thực hiện nếu có </w:t>
      </w:r>
      <w:r w:rsidRPr="00CC0CE5">
        <w:rPr>
          <w:rFonts w:ascii="Times New Roman" w:hAnsi="Times New Roman"/>
          <w:szCs w:val="28"/>
          <w:lang w:val="pt-BR"/>
        </w:rPr>
        <w:t xml:space="preserve">khó khăn, </w:t>
      </w:r>
      <w:r w:rsidRPr="00CC0CE5">
        <w:rPr>
          <w:rFonts w:ascii="Times New Roman" w:hAnsi="Times New Roman"/>
          <w:szCs w:val="28"/>
          <w:lang w:val="vi-VN"/>
        </w:rPr>
        <w:t xml:space="preserve">vướng mắc đề nghị </w:t>
      </w:r>
      <w:r w:rsidRPr="00CC0CE5">
        <w:rPr>
          <w:rFonts w:ascii="Times New Roman" w:hAnsi="Times New Roman"/>
          <w:szCs w:val="28"/>
          <w:lang w:val="pt-BR"/>
        </w:rPr>
        <w:t>các đơn vị, địa phương phản ánh bằng văn bản về Bộ Y tế để xem xét, giải quyết</w:t>
      </w:r>
      <w:r w:rsidRPr="00CC0CE5">
        <w:rPr>
          <w:rFonts w:ascii="Times New Roman" w:hAnsi="Times New Roman"/>
          <w:szCs w:val="28"/>
          <w:lang w:val="vi-VN"/>
        </w:rPr>
        <w:t>.</w:t>
      </w:r>
      <w:r w:rsidRPr="00CC0CE5">
        <w:rPr>
          <w:rFonts w:ascii="Times New Roman" w:hAnsi="Times New Roman"/>
          <w:szCs w:val="28"/>
          <w:lang w:val="pt-BR"/>
        </w:rPr>
        <w:t>/.</w:t>
      </w:r>
    </w:p>
    <w:p w:rsidR="00CC0CE5" w:rsidRPr="00CC0CE5" w:rsidRDefault="00CC0CE5" w:rsidP="00CC0CE5">
      <w:pPr>
        <w:spacing w:beforeLines="50" w:before="120" w:afterLines="50" w:after="120" w:line="312" w:lineRule="auto"/>
        <w:rPr>
          <w:rFonts w:ascii="Times New Roman" w:hAnsi="Times New Roman"/>
          <w:szCs w:val="28"/>
          <w:lang w:val="pt-BR"/>
        </w:rPr>
      </w:pPr>
    </w:p>
    <w:tbl>
      <w:tblPr>
        <w:tblW w:w="0" w:type="auto"/>
        <w:tblLayout w:type="fixed"/>
        <w:tblLook w:val="0000" w:firstRow="0" w:lastRow="0" w:firstColumn="0" w:lastColumn="0" w:noHBand="0" w:noVBand="0"/>
      </w:tblPr>
      <w:tblGrid>
        <w:gridCol w:w="5688"/>
        <w:gridCol w:w="3413"/>
      </w:tblGrid>
      <w:tr w:rsidR="00CC0CE5" w:rsidRPr="00CC0CE5" w:rsidTr="002D1546">
        <w:tc>
          <w:tcPr>
            <w:tcW w:w="5688" w:type="dxa"/>
          </w:tcPr>
          <w:p w:rsidR="00CC0CE5" w:rsidRPr="00CC0CE5" w:rsidRDefault="00CC0CE5" w:rsidP="002D1546">
            <w:pPr>
              <w:tabs>
                <w:tab w:val="left" w:pos="5137"/>
              </w:tabs>
              <w:spacing w:beforeLines="50" w:before="120" w:afterLines="50" w:after="120" w:line="312" w:lineRule="auto"/>
              <w:ind w:right="317"/>
              <w:rPr>
                <w:rFonts w:ascii="Times New Roman" w:hAnsi="Times New Roman"/>
                <w:b/>
                <w:bCs/>
                <w:i/>
                <w:iCs/>
                <w:szCs w:val="28"/>
              </w:rPr>
            </w:pPr>
          </w:p>
          <w:p w:rsidR="00CC0CE5" w:rsidRPr="00CC0CE5" w:rsidRDefault="00CC0CE5" w:rsidP="002D1546">
            <w:pPr>
              <w:tabs>
                <w:tab w:val="left" w:pos="5137"/>
              </w:tabs>
              <w:spacing w:beforeLines="50" w:before="120" w:afterLines="50" w:after="120" w:line="312" w:lineRule="auto"/>
              <w:ind w:right="317"/>
              <w:rPr>
                <w:rFonts w:ascii="Times New Roman" w:hAnsi="Times New Roman"/>
                <w:szCs w:val="28"/>
              </w:rPr>
            </w:pPr>
            <w:r w:rsidRPr="00CC0CE5">
              <w:rPr>
                <w:rFonts w:ascii="Times New Roman" w:hAnsi="Times New Roman"/>
                <w:b/>
                <w:bCs/>
                <w:i/>
                <w:iCs/>
                <w:szCs w:val="28"/>
                <w:lang w:val="vi-VN"/>
              </w:rPr>
              <w:t>Nơi nhận :</w:t>
            </w:r>
            <w:r w:rsidRPr="00CC0CE5">
              <w:rPr>
                <w:rFonts w:ascii="Times New Roman" w:hAnsi="Times New Roman"/>
                <w:b/>
                <w:i/>
                <w:szCs w:val="28"/>
              </w:rPr>
              <w:br/>
            </w:r>
            <w:r w:rsidRPr="00CC0CE5">
              <w:rPr>
                <w:rFonts w:ascii="Times New Roman" w:hAnsi="Times New Roman"/>
                <w:szCs w:val="28"/>
                <w:lang w:val="vi-VN"/>
              </w:rPr>
              <w:t>- Thủ tướng Chính phủ,</w:t>
            </w:r>
            <w:r w:rsidRPr="00CC0CE5">
              <w:rPr>
                <w:rFonts w:ascii="Times New Roman" w:hAnsi="Times New Roman"/>
                <w:szCs w:val="28"/>
                <w:lang w:val="vi-VN"/>
              </w:rPr>
              <w:br/>
              <w:t>- Các Phó Thủ tướng Chính phủ;</w:t>
            </w:r>
            <w:r w:rsidRPr="00CC0CE5">
              <w:rPr>
                <w:rFonts w:ascii="Times New Roman" w:hAnsi="Times New Roman"/>
                <w:szCs w:val="28"/>
                <w:lang w:val="vi-VN"/>
              </w:rPr>
              <w:br/>
              <w:t>- Văn phòng Chính phủ;</w:t>
            </w:r>
            <w:r w:rsidRPr="00CC0CE5">
              <w:rPr>
                <w:rFonts w:ascii="Times New Roman" w:hAnsi="Times New Roman"/>
                <w:szCs w:val="28"/>
                <w:lang w:val="vi-VN"/>
              </w:rPr>
              <w:br/>
              <w:t>- Văn phòng Chủ tịch nước;</w:t>
            </w:r>
            <w:r w:rsidRPr="00CC0CE5">
              <w:rPr>
                <w:rFonts w:ascii="Times New Roman" w:hAnsi="Times New Roman"/>
                <w:szCs w:val="28"/>
                <w:lang w:val="vi-VN"/>
              </w:rPr>
              <w:br/>
              <w:t>- Văn phòng Quốc hội;</w:t>
            </w:r>
            <w:r w:rsidRPr="00CC0CE5">
              <w:rPr>
                <w:rFonts w:ascii="Times New Roman" w:hAnsi="Times New Roman"/>
                <w:szCs w:val="28"/>
                <w:lang w:val="vi-VN"/>
              </w:rPr>
              <w:br/>
              <w:t>- Văn phòng Trung ương và các Ban của Đảng;</w:t>
            </w:r>
            <w:r w:rsidRPr="00CC0CE5">
              <w:rPr>
                <w:rFonts w:ascii="Times New Roman" w:hAnsi="Times New Roman"/>
                <w:szCs w:val="28"/>
                <w:lang w:val="vi-VN"/>
              </w:rPr>
              <w:br/>
              <w:t>- Hội đồng Dân tộc và các UB của Quốc hội;</w:t>
            </w:r>
            <w:r w:rsidRPr="00CC0CE5">
              <w:rPr>
                <w:rFonts w:ascii="Times New Roman" w:hAnsi="Times New Roman"/>
                <w:szCs w:val="28"/>
                <w:lang w:val="vi-VN"/>
              </w:rPr>
              <w:br/>
              <w:t>- Công báo; Cổng TTĐT Chính phủ;</w:t>
            </w:r>
            <w:r w:rsidRPr="00CC0CE5">
              <w:rPr>
                <w:rFonts w:ascii="Times New Roman" w:hAnsi="Times New Roman"/>
                <w:szCs w:val="28"/>
                <w:lang w:val="vi-VN"/>
              </w:rPr>
              <w:br/>
              <w:t>- Các Bộ, cơ quan ngang Bộ, cơ quan thuộc Chính phủ;</w:t>
            </w:r>
            <w:r w:rsidRPr="00CC0CE5">
              <w:rPr>
                <w:rFonts w:ascii="Times New Roman" w:hAnsi="Times New Roman"/>
                <w:szCs w:val="28"/>
                <w:lang w:val="vi-VN"/>
              </w:rPr>
              <w:br/>
              <w:t>- Toà án nhân dân tối cao;</w:t>
            </w:r>
            <w:r w:rsidRPr="00CC0CE5">
              <w:rPr>
                <w:rFonts w:ascii="Times New Roman" w:hAnsi="Times New Roman"/>
                <w:szCs w:val="28"/>
                <w:lang w:val="vi-VN"/>
              </w:rPr>
              <w:br/>
              <w:t>- Viện Kiểm sát nhân dân tối cao;</w:t>
            </w:r>
            <w:r w:rsidRPr="00CC0CE5">
              <w:rPr>
                <w:rFonts w:ascii="Times New Roman" w:hAnsi="Times New Roman"/>
                <w:szCs w:val="28"/>
                <w:lang w:val="vi-VN"/>
              </w:rPr>
              <w:br/>
              <w:t>- Kiểm toán Nhà nước;</w:t>
            </w:r>
            <w:r w:rsidRPr="00CC0CE5">
              <w:rPr>
                <w:rFonts w:ascii="Times New Roman" w:hAnsi="Times New Roman"/>
                <w:szCs w:val="28"/>
                <w:lang w:val="vi-VN"/>
              </w:rPr>
              <w:br/>
              <w:t>- Cục kiểm tra văn bản QPPL-Bộ Tư pháp;</w:t>
            </w:r>
            <w:r w:rsidRPr="00CC0CE5">
              <w:rPr>
                <w:rFonts w:ascii="Times New Roman" w:hAnsi="Times New Roman"/>
                <w:szCs w:val="28"/>
                <w:lang w:val="vi-VN"/>
              </w:rPr>
              <w:br/>
              <w:t>- Uỷ ban TW Mặt trận Tổ quốc Việt Nam;</w:t>
            </w:r>
            <w:r w:rsidRPr="00CC0CE5">
              <w:rPr>
                <w:rFonts w:ascii="Times New Roman" w:hAnsi="Times New Roman"/>
                <w:szCs w:val="28"/>
                <w:lang w:val="vi-VN"/>
              </w:rPr>
              <w:br/>
              <w:t>- Cơ quan Trung ương của các đoàn thể;</w:t>
            </w:r>
            <w:r w:rsidRPr="00CC0CE5">
              <w:rPr>
                <w:rFonts w:ascii="Times New Roman" w:hAnsi="Times New Roman"/>
                <w:szCs w:val="28"/>
                <w:lang w:val="vi-VN"/>
              </w:rPr>
              <w:br/>
              <w:t>- HĐND, UBND các tỉnh, thành phố trực thuộc TW;</w:t>
            </w:r>
            <w:r w:rsidRPr="00CC0CE5">
              <w:rPr>
                <w:rFonts w:ascii="Times New Roman" w:hAnsi="Times New Roman"/>
                <w:szCs w:val="28"/>
                <w:lang w:val="vi-VN"/>
              </w:rPr>
              <w:br/>
              <w:t>- Cổng TTĐT Bộ Y tế;</w:t>
            </w:r>
            <w:r w:rsidRPr="00CC0CE5">
              <w:rPr>
                <w:rFonts w:ascii="Times New Roman" w:hAnsi="Times New Roman"/>
                <w:szCs w:val="28"/>
                <w:lang w:val="vi-VN"/>
              </w:rPr>
              <w:br/>
              <w:t>- Sở Y tế, Sở Tài chính các tỉnh, thành phố trực thuộc TW;</w:t>
            </w:r>
            <w:r w:rsidRPr="00CC0CE5">
              <w:rPr>
                <w:rFonts w:ascii="Times New Roman" w:hAnsi="Times New Roman"/>
                <w:szCs w:val="28"/>
                <w:lang w:val="vi-VN"/>
              </w:rPr>
              <w:br/>
              <w:t>- Các Vụ, Cục, Tổng cục, Thanh tra, các đơn vị trực thuộc Bộ Y tế;</w:t>
            </w:r>
            <w:r w:rsidRPr="00CC0CE5">
              <w:rPr>
                <w:rFonts w:ascii="Times New Roman" w:hAnsi="Times New Roman"/>
                <w:szCs w:val="28"/>
                <w:lang w:val="vi-VN"/>
              </w:rPr>
              <w:br/>
              <w:t>- Lưu: VT, KHTC(02), PC(02)</w:t>
            </w:r>
            <w:r w:rsidRPr="00CC0CE5">
              <w:rPr>
                <w:rFonts w:ascii="Times New Roman" w:hAnsi="Times New Roman"/>
                <w:szCs w:val="28"/>
              </w:rPr>
              <w:t>.</w:t>
            </w:r>
          </w:p>
        </w:tc>
        <w:tc>
          <w:tcPr>
            <w:tcW w:w="3413" w:type="dxa"/>
          </w:tcPr>
          <w:p w:rsidR="00CC0CE5" w:rsidRPr="00CC0CE5" w:rsidRDefault="00CC0CE5" w:rsidP="002D1546">
            <w:pPr>
              <w:spacing w:beforeLines="50" w:before="120" w:afterLines="50" w:after="120" w:line="312" w:lineRule="auto"/>
              <w:jc w:val="center"/>
              <w:rPr>
                <w:rFonts w:ascii="Times New Roman" w:hAnsi="Times New Roman"/>
                <w:b/>
                <w:szCs w:val="28"/>
                <w:lang w:val="es-ES"/>
              </w:rPr>
            </w:pPr>
            <w:r w:rsidRPr="00CC0CE5">
              <w:rPr>
                <w:rFonts w:ascii="Times New Roman" w:hAnsi="Times New Roman"/>
                <w:b/>
                <w:szCs w:val="28"/>
                <w:lang w:val="es-ES"/>
              </w:rPr>
              <w:t>KT. BỘ TRƯỞNG</w:t>
            </w:r>
            <w:r w:rsidRPr="00CC0CE5">
              <w:rPr>
                <w:rFonts w:ascii="Times New Roman" w:hAnsi="Times New Roman"/>
                <w:b/>
                <w:szCs w:val="28"/>
                <w:lang w:val="es-ES"/>
              </w:rPr>
              <w:br/>
              <w:t>THỨ TRƯỞNG</w:t>
            </w:r>
            <w:r w:rsidRPr="00CC0CE5">
              <w:rPr>
                <w:rFonts w:ascii="Times New Roman" w:hAnsi="Times New Roman"/>
                <w:b/>
                <w:szCs w:val="28"/>
                <w:lang w:val="es-ES"/>
              </w:rPr>
              <w:br/>
            </w:r>
            <w:r w:rsidRPr="00CC0CE5">
              <w:rPr>
                <w:rFonts w:ascii="Times New Roman" w:hAnsi="Times New Roman"/>
                <w:b/>
                <w:szCs w:val="28"/>
                <w:lang w:val="es-ES"/>
              </w:rPr>
              <w:br/>
            </w:r>
            <w:r w:rsidRPr="00CC0CE5">
              <w:rPr>
                <w:rFonts w:ascii="Times New Roman" w:hAnsi="Times New Roman"/>
                <w:b/>
                <w:szCs w:val="28"/>
                <w:lang w:val="es-ES"/>
              </w:rPr>
              <w:br/>
            </w:r>
            <w:r w:rsidRPr="00CC0CE5">
              <w:rPr>
                <w:rFonts w:ascii="Times New Roman" w:hAnsi="Times New Roman"/>
                <w:b/>
                <w:szCs w:val="28"/>
                <w:lang w:val="es-ES"/>
              </w:rPr>
              <w:br/>
            </w:r>
            <w:r w:rsidRPr="00CC0CE5">
              <w:rPr>
                <w:rFonts w:ascii="Times New Roman" w:hAnsi="Times New Roman"/>
                <w:b/>
                <w:szCs w:val="28"/>
                <w:lang w:val="es-ES"/>
              </w:rPr>
              <w:br/>
              <w:t>Phạm Lê Tuấn</w:t>
            </w:r>
          </w:p>
        </w:tc>
      </w:tr>
    </w:tbl>
    <w:p w:rsidR="00CC0CE5" w:rsidRPr="00CC0CE5" w:rsidRDefault="00CC0CE5" w:rsidP="00CC0CE5">
      <w:pPr>
        <w:spacing w:beforeLines="50" w:before="120" w:afterLines="50" w:after="120" w:line="312" w:lineRule="auto"/>
        <w:rPr>
          <w:rFonts w:ascii="Times New Roman" w:hAnsi="Times New Roman"/>
          <w:szCs w:val="28"/>
          <w:lang w:val="es-E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tblGrid>
      <w:tr w:rsidR="00CC0CE5" w:rsidRPr="00CC0CE5" w:rsidTr="00CC0CE5">
        <w:tc>
          <w:tcPr>
            <w:tcW w:w="5868" w:type="dxa"/>
          </w:tcPr>
          <w:p w:rsidR="00CC0CE5" w:rsidRPr="00CC0CE5" w:rsidRDefault="00CC0CE5" w:rsidP="002D1546">
            <w:pPr>
              <w:spacing w:beforeLines="50" w:before="120" w:afterLines="50" w:after="120" w:line="312" w:lineRule="auto"/>
              <w:jc w:val="center"/>
              <w:rPr>
                <w:rFonts w:ascii="Times New Roman" w:hAnsi="Times New Roman"/>
                <w:b/>
                <w:color w:val="FF0000"/>
                <w:szCs w:val="28"/>
                <w:lang w:val="nb-NO"/>
              </w:rPr>
            </w:pPr>
          </w:p>
          <w:p w:rsidR="00CC0CE5" w:rsidRPr="00CC0CE5" w:rsidRDefault="00CC0CE5" w:rsidP="002D1546">
            <w:pPr>
              <w:spacing w:beforeLines="50" w:before="120" w:afterLines="50" w:after="120" w:line="312" w:lineRule="auto"/>
              <w:jc w:val="center"/>
              <w:rPr>
                <w:rFonts w:ascii="Times New Roman" w:hAnsi="Times New Roman"/>
                <w:b/>
                <w:color w:val="FF0000"/>
                <w:szCs w:val="28"/>
                <w:lang w:val="nb-NO"/>
              </w:rPr>
            </w:pPr>
            <w:r w:rsidRPr="00CC0CE5">
              <w:rPr>
                <w:rFonts w:ascii="Times New Roman" w:hAnsi="Times New Roman"/>
                <w:b/>
                <w:color w:val="FF0000"/>
                <w:szCs w:val="28"/>
                <w:lang w:val="nb-NO"/>
              </w:rPr>
              <w:t>FILE ĐƯỢC ĐÍNH KÈM THEO VĂN BẢN</w:t>
            </w:r>
          </w:p>
          <w:bookmarkStart w:id="16" w:name="_1554034887"/>
          <w:bookmarkEnd w:id="16"/>
          <w:p w:rsidR="00CC0CE5" w:rsidRPr="00CC0CE5" w:rsidRDefault="00CC0CE5" w:rsidP="002D1546">
            <w:pPr>
              <w:spacing w:beforeLines="50" w:before="120" w:afterLines="50" w:after="120" w:line="312" w:lineRule="auto"/>
              <w:jc w:val="center"/>
              <w:rPr>
                <w:rFonts w:ascii="Times New Roman" w:hAnsi="Times New Roman"/>
                <w:b/>
                <w:color w:val="FF0000"/>
                <w:szCs w:val="28"/>
                <w:lang w:val="nb-NO"/>
              </w:rPr>
            </w:pPr>
            <w:r w:rsidRPr="00CC0CE5">
              <w:rPr>
                <w:rFonts w:ascii="Times New Roman" w:hAnsi="Times New Roman"/>
                <w:b/>
                <w:color w:val="FF0000"/>
                <w:szCs w:val="28"/>
                <w:lang w:val="nb-NO"/>
              </w:rPr>
              <w:object w:dxaOrig="1562"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7.25pt;height:49.5pt;mso-wrap-style:square;mso-position-horizontal-relative:page;mso-position-vertical-relative:page" o:ole="">
                  <v:imagedata r:id="rId6" o:title=""/>
                </v:shape>
                <o:OLEObject Type="Embed" ProgID="Excel.Sheet.8" ShapeID="Picture 1" DrawAspect="Icon" ObjectID="_1649107206" r:id="rId7"/>
              </w:object>
            </w:r>
          </w:p>
        </w:tc>
      </w:tr>
    </w:tbl>
    <w:p w:rsidR="00CC0CE5" w:rsidRPr="00CC0CE5" w:rsidRDefault="00CC0CE5" w:rsidP="00CC0CE5">
      <w:pPr>
        <w:spacing w:beforeLines="50" w:before="120" w:afterLines="50" w:after="120" w:line="312" w:lineRule="auto"/>
        <w:rPr>
          <w:rFonts w:ascii="Times New Roman" w:hAnsi="Times New Roman"/>
          <w:b/>
          <w:szCs w:val="28"/>
        </w:rPr>
      </w:pPr>
      <w:r w:rsidRPr="00CC0CE5">
        <w:rPr>
          <w:rFonts w:ascii="Times New Roman" w:hAnsi="Times New Roman"/>
          <w:szCs w:val="28"/>
          <w:lang w:val="es-ES"/>
        </w:rPr>
        <w:br w:type="textWrapping" w:clear="all"/>
      </w:r>
    </w:p>
    <w:p w:rsidR="00D62FEC" w:rsidRPr="00CC0CE5" w:rsidRDefault="00D62FEC">
      <w:pPr>
        <w:rPr>
          <w:rFonts w:ascii="Times New Roman" w:hAnsi="Times New Roman"/>
          <w:szCs w:val="28"/>
        </w:rPr>
      </w:pPr>
    </w:p>
    <w:sectPr w:rsidR="00D62FEC" w:rsidRPr="00CC0CE5">
      <w:headerReference w:type="even" r:id="rId8"/>
      <w:headerReference w:type="default" r:id="rId9"/>
      <w:footerReference w:type="even" r:id="rId10"/>
      <w:footerReference w:type="default" r:id="rId11"/>
      <w:pgSz w:w="11909" w:h="16834"/>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0CE5">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lang w:val="en-US" w:eastAsia="en-US"/>
      </w:rPr>
      <w:t>12</w:t>
    </w:r>
    <w:r>
      <w:fldChar w:fldCharType="end"/>
    </w:r>
  </w:p>
  <w:p w:rsidR="00000000" w:rsidRDefault="00CC0CE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0CE5">
    <w:pPr>
      <w:pStyle w:val="Footer"/>
      <w:jc w:val="right"/>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Pr="00CC0CE5">
      <w:rPr>
        <w:rFonts w:ascii="Times New Roman" w:hAnsi="Times New Roman"/>
        <w:noProof/>
        <w:sz w:val="24"/>
        <w:lang w:val="en-US" w:eastAsia="en-US"/>
      </w:rPr>
      <w:t>1</w:t>
    </w:r>
    <w:r>
      <w:rPr>
        <w:rFonts w:ascii="Times New Roman" w:hAnsi="Times New Roman"/>
        <w:sz w:val="24"/>
      </w:rPr>
      <w:fldChar w:fldCharType="end"/>
    </w:r>
  </w:p>
  <w:p w:rsidR="00000000" w:rsidRDefault="00CC0CE5">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0CE5">
    <w:pPr>
      <w:pStyle w:val="Header"/>
      <w:framePr w:wrap="around" w:vAnchor="text" w:hAnchor="margin" w:xAlign="center" w:y="1"/>
      <w:rPr>
        <w:rStyle w:val="PageNumber"/>
      </w:rPr>
    </w:pPr>
    <w:r>
      <w:fldChar w:fldCharType="begin"/>
    </w:r>
    <w:r>
      <w:rPr>
        <w:rStyle w:val="PageNumber"/>
      </w:rPr>
      <w:instrText xml:space="preserve">PAGE  </w:instrText>
    </w:r>
    <w:r>
      <w:fldChar w:fldCharType="end"/>
    </w:r>
  </w:p>
  <w:p w:rsidR="00000000" w:rsidRDefault="00CC0C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0CE5">
    <w:pPr>
      <w:pStyle w:val="Header"/>
      <w:framePr w:wrap="around" w:vAnchor="text" w:hAnchor="margin" w:xAlign="center" w:y="1"/>
      <w:rPr>
        <w:rStyle w:val="PageNumber"/>
      </w:rPr>
    </w:pPr>
  </w:p>
  <w:p w:rsidR="00000000" w:rsidRDefault="00CC0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E5"/>
    <w:rsid w:val="00CC0CE5"/>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6C35F-0F0A-46A2-BA2A-0D60A273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E5"/>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1">
    <w:name w:val="Body Text Indent 2 Char1"/>
    <w:link w:val="BodyTextIndent2"/>
    <w:rsid w:val="00CC0CE5"/>
    <w:rPr>
      <w:rFonts w:ascii=".VnTime" w:hAnsi=".VnTime"/>
    </w:rPr>
  </w:style>
  <w:style w:type="character" w:customStyle="1" w:styleId="FooterChar">
    <w:name w:val="Footer Char"/>
    <w:link w:val="Footer"/>
    <w:uiPriority w:val="99"/>
    <w:rsid w:val="00CC0CE5"/>
    <w:rPr>
      <w:rFonts w:ascii=".VnTime" w:hAnsi=".VnTime"/>
      <w:szCs w:val="24"/>
    </w:rPr>
  </w:style>
  <w:style w:type="character" w:styleId="PageNumber">
    <w:name w:val="page number"/>
    <w:basedOn w:val="DefaultParagraphFont"/>
    <w:rsid w:val="00CC0CE5"/>
  </w:style>
  <w:style w:type="paragraph" w:styleId="Header">
    <w:name w:val="header"/>
    <w:basedOn w:val="Normal"/>
    <w:link w:val="HeaderChar"/>
    <w:rsid w:val="00CC0CE5"/>
    <w:pPr>
      <w:tabs>
        <w:tab w:val="center" w:pos="4320"/>
        <w:tab w:val="right" w:pos="8640"/>
      </w:tabs>
    </w:pPr>
  </w:style>
  <w:style w:type="character" w:customStyle="1" w:styleId="HeaderChar">
    <w:name w:val="Header Char"/>
    <w:basedOn w:val="DefaultParagraphFont"/>
    <w:link w:val="Header"/>
    <w:rsid w:val="00CC0CE5"/>
    <w:rPr>
      <w:rFonts w:ascii=".VnTime" w:eastAsia="Times New Roman" w:hAnsi=".VnTime" w:cs="Times New Roman"/>
      <w:szCs w:val="24"/>
    </w:rPr>
  </w:style>
  <w:style w:type="paragraph" w:styleId="Footer">
    <w:name w:val="footer"/>
    <w:basedOn w:val="Normal"/>
    <w:link w:val="FooterChar"/>
    <w:uiPriority w:val="99"/>
    <w:rsid w:val="00CC0CE5"/>
    <w:pPr>
      <w:tabs>
        <w:tab w:val="center" w:pos="4320"/>
        <w:tab w:val="right" w:pos="8640"/>
      </w:tabs>
    </w:pPr>
    <w:rPr>
      <w:rFonts w:eastAsiaTheme="minorHAnsi" w:cstheme="minorBidi"/>
    </w:rPr>
  </w:style>
  <w:style w:type="character" w:customStyle="1" w:styleId="FooterChar1">
    <w:name w:val="Footer Char1"/>
    <w:basedOn w:val="DefaultParagraphFont"/>
    <w:uiPriority w:val="99"/>
    <w:semiHidden/>
    <w:rsid w:val="00CC0CE5"/>
    <w:rPr>
      <w:rFonts w:ascii=".VnTime" w:eastAsia="Times New Roman" w:hAnsi=".VnTime" w:cs="Times New Roman"/>
      <w:szCs w:val="24"/>
    </w:rPr>
  </w:style>
  <w:style w:type="paragraph" w:styleId="BodyTextIndent2">
    <w:name w:val="Body Text Indent 2"/>
    <w:basedOn w:val="Normal"/>
    <w:link w:val="BodyTextIndent2Char1"/>
    <w:rsid w:val="00CC0CE5"/>
    <w:pPr>
      <w:ind w:firstLine="720"/>
      <w:jc w:val="both"/>
    </w:pPr>
    <w:rPr>
      <w:rFonts w:eastAsiaTheme="minorHAnsi" w:cstheme="minorBidi"/>
      <w:szCs w:val="22"/>
    </w:rPr>
  </w:style>
  <w:style w:type="character" w:customStyle="1" w:styleId="BodyTextIndent2Char">
    <w:name w:val="Body Text Indent 2 Char"/>
    <w:basedOn w:val="DefaultParagraphFont"/>
    <w:uiPriority w:val="99"/>
    <w:semiHidden/>
    <w:rsid w:val="00CC0CE5"/>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hyperlink" Target="http://thuvienphapluat.vn/phap-luat/tim-van-ban.aspx?keyword=204/2004/N%C4%90-CP&amp;area=2&amp;type=0&amp;match=False&amp;vc=True&amp;lan=1" TargetMode="External"/><Relationship Id="rId10" Type="http://schemas.openxmlformats.org/officeDocument/2006/relationships/footer" Target="footer1.xml"/><Relationship Id="rId4" Type="http://schemas.openxmlformats.org/officeDocument/2006/relationships/hyperlink" Target="http://thuvienphapluat.vn/phap-luat/tim-van-ban.aspx?keyword=204/2004/N%C4%90-CP&amp;area=2&amp;type=0&amp;match=False&amp;vc=True&amp;lan=1" TargetMode="Externa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4794</Words>
  <Characters>27328</Characters>
  <Application>Microsoft Office Word</Application>
  <DocSecurity>0</DocSecurity>
  <Lines>227</Lines>
  <Paragraphs>64</Paragraphs>
  <ScaleCrop>false</ScaleCrop>
  <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2020-04-22T17:32:00Z</dcterms:created>
  <dcterms:modified xsi:type="dcterms:W3CDTF">2020-04-22T17:34:00Z</dcterms:modified>
</cp:coreProperties>
</file>