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000" w:firstRow="0" w:lastRow="0" w:firstColumn="0" w:lastColumn="0" w:noHBand="0" w:noVBand="0"/>
      </w:tblPr>
      <w:tblGrid>
        <w:gridCol w:w="3998"/>
        <w:gridCol w:w="6323"/>
      </w:tblGrid>
      <w:tr w:rsidR="004D4262" w:rsidRPr="004D4262" w:rsidTr="004D4262">
        <w:trPr>
          <w:trHeight w:val="1467"/>
          <w:jc w:val="center"/>
        </w:trPr>
        <w:tc>
          <w:tcPr>
            <w:tcW w:w="3998" w:type="dxa"/>
            <w:tcBorders>
              <w:tl2br w:val="nil"/>
              <w:tr2bl w:val="nil"/>
            </w:tcBorders>
            <w:tcMar>
              <w:top w:w="0" w:type="dxa"/>
              <w:left w:w="108" w:type="dxa"/>
              <w:bottom w:w="0" w:type="dxa"/>
              <w:right w:w="108" w:type="dxa"/>
            </w:tcMar>
          </w:tcPr>
          <w:p w:rsidR="004D4262" w:rsidRPr="004D4262" w:rsidRDefault="004D4262" w:rsidP="00192830">
            <w:pPr>
              <w:spacing w:before="120"/>
              <w:jc w:val="center"/>
              <w:rPr>
                <w:sz w:val="28"/>
                <w:szCs w:val="28"/>
              </w:rPr>
            </w:pPr>
            <w:r w:rsidRPr="004D4262">
              <w:rPr>
                <w:b/>
                <w:bCs/>
                <w:sz w:val="28"/>
                <w:szCs w:val="28"/>
              </w:rPr>
              <w:t>BỘ Y TẾ</w:t>
            </w:r>
            <w:r w:rsidRPr="004D4262">
              <w:rPr>
                <w:b/>
                <w:bCs/>
                <w:sz w:val="28"/>
                <w:szCs w:val="28"/>
              </w:rPr>
              <w:br/>
              <w:t>-------</w:t>
            </w:r>
          </w:p>
        </w:tc>
        <w:tc>
          <w:tcPr>
            <w:tcW w:w="6323" w:type="dxa"/>
            <w:tcBorders>
              <w:tl2br w:val="nil"/>
              <w:tr2bl w:val="nil"/>
            </w:tcBorders>
            <w:tcMar>
              <w:top w:w="0" w:type="dxa"/>
              <w:left w:w="108" w:type="dxa"/>
              <w:bottom w:w="0" w:type="dxa"/>
              <w:right w:w="108" w:type="dxa"/>
            </w:tcMar>
          </w:tcPr>
          <w:p w:rsidR="004D4262" w:rsidRPr="004D4262" w:rsidRDefault="004D4262" w:rsidP="00192830">
            <w:pPr>
              <w:spacing w:before="120"/>
              <w:jc w:val="center"/>
              <w:rPr>
                <w:sz w:val="28"/>
                <w:szCs w:val="28"/>
              </w:rPr>
            </w:pPr>
            <w:r w:rsidRPr="004D4262">
              <w:rPr>
                <w:b/>
                <w:bCs/>
                <w:sz w:val="28"/>
                <w:szCs w:val="28"/>
              </w:rPr>
              <w:t>CỘNG HÒA XÃ HỘI CHỦ NGHĨA VIỆT NAM</w:t>
            </w:r>
            <w:r w:rsidRPr="004D4262">
              <w:rPr>
                <w:b/>
                <w:bCs/>
                <w:sz w:val="28"/>
                <w:szCs w:val="28"/>
              </w:rPr>
              <w:br/>
              <w:t xml:space="preserve">Độc lập - Tự do - Hạnh phúc </w:t>
            </w:r>
            <w:r w:rsidRPr="004D4262">
              <w:rPr>
                <w:b/>
                <w:bCs/>
                <w:sz w:val="28"/>
                <w:szCs w:val="28"/>
              </w:rPr>
              <w:br/>
              <w:t>---------------</w:t>
            </w:r>
          </w:p>
        </w:tc>
      </w:tr>
      <w:tr w:rsidR="004D4262" w:rsidRPr="004D4262" w:rsidTr="004D4262">
        <w:trPr>
          <w:trHeight w:val="452"/>
          <w:jc w:val="center"/>
        </w:trPr>
        <w:tc>
          <w:tcPr>
            <w:tcW w:w="3998" w:type="dxa"/>
            <w:tcBorders>
              <w:tl2br w:val="nil"/>
              <w:tr2bl w:val="nil"/>
            </w:tcBorders>
            <w:tcMar>
              <w:top w:w="0" w:type="dxa"/>
              <w:left w:w="108" w:type="dxa"/>
              <w:bottom w:w="0" w:type="dxa"/>
              <w:right w:w="108" w:type="dxa"/>
            </w:tcMar>
          </w:tcPr>
          <w:p w:rsidR="004D4262" w:rsidRPr="004D4262" w:rsidRDefault="004D4262" w:rsidP="00192830">
            <w:pPr>
              <w:spacing w:before="120"/>
              <w:jc w:val="center"/>
              <w:rPr>
                <w:sz w:val="28"/>
                <w:szCs w:val="28"/>
              </w:rPr>
            </w:pPr>
            <w:r w:rsidRPr="004D4262">
              <w:rPr>
                <w:sz w:val="28"/>
                <w:szCs w:val="28"/>
              </w:rPr>
              <w:t>Số: 06/2017/TT-BYT</w:t>
            </w:r>
          </w:p>
        </w:tc>
        <w:tc>
          <w:tcPr>
            <w:tcW w:w="6323" w:type="dxa"/>
            <w:tcBorders>
              <w:tl2br w:val="nil"/>
              <w:tr2bl w:val="nil"/>
            </w:tcBorders>
            <w:tcMar>
              <w:top w:w="0" w:type="dxa"/>
              <w:left w:w="108" w:type="dxa"/>
              <w:bottom w:w="0" w:type="dxa"/>
              <w:right w:w="108" w:type="dxa"/>
            </w:tcMar>
          </w:tcPr>
          <w:p w:rsidR="004D4262" w:rsidRPr="004D4262" w:rsidRDefault="004D4262" w:rsidP="00192830">
            <w:pPr>
              <w:spacing w:before="120"/>
              <w:jc w:val="center"/>
              <w:rPr>
                <w:sz w:val="28"/>
                <w:szCs w:val="28"/>
              </w:rPr>
            </w:pPr>
            <w:r w:rsidRPr="004D4262">
              <w:rPr>
                <w:i/>
                <w:iCs/>
                <w:sz w:val="28"/>
                <w:szCs w:val="28"/>
              </w:rPr>
              <w:t>Hà Nội, ngày 03 tháng 05 năm 2017</w:t>
            </w:r>
          </w:p>
        </w:tc>
      </w:tr>
    </w:tbl>
    <w:p w:rsidR="004D4262" w:rsidRPr="004D4262" w:rsidRDefault="004D4262" w:rsidP="004D4262">
      <w:pPr>
        <w:spacing w:before="120" w:after="100" w:afterAutospacing="1"/>
        <w:jc w:val="both"/>
        <w:rPr>
          <w:sz w:val="28"/>
          <w:szCs w:val="28"/>
        </w:rPr>
      </w:pPr>
      <w:r w:rsidRPr="004D4262">
        <w:rPr>
          <w:sz w:val="28"/>
          <w:szCs w:val="28"/>
        </w:rPr>
        <w:t> </w:t>
      </w:r>
    </w:p>
    <w:p w:rsidR="004D4262" w:rsidRPr="004D4262" w:rsidRDefault="004D4262" w:rsidP="004D4262">
      <w:pPr>
        <w:spacing w:before="120" w:after="100" w:afterAutospacing="1"/>
        <w:jc w:val="center"/>
        <w:rPr>
          <w:sz w:val="28"/>
          <w:szCs w:val="28"/>
        </w:rPr>
      </w:pPr>
      <w:r w:rsidRPr="004D4262">
        <w:rPr>
          <w:b/>
          <w:bCs/>
          <w:sz w:val="28"/>
          <w:szCs w:val="28"/>
        </w:rPr>
        <w:t>THÔNG TƯ</w:t>
      </w:r>
    </w:p>
    <w:p w:rsidR="004D4262" w:rsidRPr="004D4262" w:rsidRDefault="004D4262" w:rsidP="004D4262">
      <w:pPr>
        <w:spacing w:before="120" w:after="100" w:afterAutospacing="1"/>
        <w:jc w:val="center"/>
        <w:rPr>
          <w:sz w:val="28"/>
          <w:szCs w:val="28"/>
        </w:rPr>
      </w:pPr>
      <w:r w:rsidRPr="004D4262">
        <w:rPr>
          <w:sz w:val="28"/>
          <w:szCs w:val="28"/>
        </w:rPr>
        <w:t>BAN HÀNH DANH MỤC THUỐC ĐỘC VÀ NGUYÊN LIỆU ĐỘC LÀM THUỐC</w:t>
      </w:r>
    </w:p>
    <w:p w:rsidR="004D4262" w:rsidRPr="004D4262" w:rsidRDefault="004D4262" w:rsidP="004D4262">
      <w:pPr>
        <w:spacing w:before="120" w:after="100" w:afterAutospacing="1"/>
        <w:jc w:val="both"/>
        <w:rPr>
          <w:sz w:val="28"/>
          <w:szCs w:val="28"/>
        </w:rPr>
      </w:pPr>
      <w:r w:rsidRPr="004D4262">
        <w:rPr>
          <w:i/>
          <w:iCs/>
          <w:sz w:val="28"/>
          <w:szCs w:val="28"/>
        </w:rPr>
        <w:t>Căn cứ Luật dược ngày 06 tháng 4 năm 2016;</w:t>
      </w:r>
    </w:p>
    <w:p w:rsidR="004D4262" w:rsidRPr="004D4262" w:rsidRDefault="004D4262" w:rsidP="004D4262">
      <w:pPr>
        <w:spacing w:before="120" w:after="100" w:afterAutospacing="1"/>
        <w:jc w:val="both"/>
        <w:rPr>
          <w:sz w:val="28"/>
          <w:szCs w:val="28"/>
        </w:rPr>
      </w:pPr>
      <w:r w:rsidRPr="004D4262">
        <w:rPr>
          <w:i/>
          <w:iCs/>
          <w:sz w:val="28"/>
          <w:szCs w:val="28"/>
        </w:rPr>
        <w:t>Căn cứ Nghị định số 63/2012/NĐ-CP ngày 31 tháng 8 năm 2012 của Chính phủ quy định chức năng nhiệm vụ, quyền hạn và cơ cấu tổ chức của Bộ Y tế;</w:t>
      </w:r>
    </w:p>
    <w:p w:rsidR="004D4262" w:rsidRPr="004D4262" w:rsidRDefault="004D4262" w:rsidP="004D4262">
      <w:pPr>
        <w:spacing w:before="120" w:after="100" w:afterAutospacing="1"/>
        <w:jc w:val="both"/>
        <w:rPr>
          <w:sz w:val="28"/>
          <w:szCs w:val="28"/>
        </w:rPr>
      </w:pPr>
      <w:r w:rsidRPr="004D4262">
        <w:rPr>
          <w:i/>
          <w:iCs/>
          <w:sz w:val="28"/>
          <w:szCs w:val="28"/>
        </w:rPr>
        <w:t>Theo đề nghị của Cục trưởng Cục Quản lý Dược;</w:t>
      </w:r>
    </w:p>
    <w:p w:rsidR="004D4262" w:rsidRPr="004D4262" w:rsidRDefault="004D4262" w:rsidP="004D4262">
      <w:pPr>
        <w:spacing w:before="120" w:after="100" w:afterAutospacing="1"/>
        <w:jc w:val="both"/>
        <w:rPr>
          <w:sz w:val="28"/>
          <w:szCs w:val="28"/>
        </w:rPr>
      </w:pPr>
      <w:r w:rsidRPr="004D4262">
        <w:rPr>
          <w:i/>
          <w:iCs/>
          <w:sz w:val="28"/>
          <w:szCs w:val="28"/>
        </w:rPr>
        <w:t>Bộ trưởng Bộ Y tế ban hành “Thông tư ban hành Danh mục thuốc độc và nguyên liệu độc làm thuốc”.</w:t>
      </w:r>
    </w:p>
    <w:p w:rsidR="004D4262" w:rsidRPr="004D4262" w:rsidRDefault="004D4262" w:rsidP="004D4262">
      <w:pPr>
        <w:spacing w:before="120" w:after="100" w:afterAutospacing="1"/>
        <w:jc w:val="both"/>
        <w:rPr>
          <w:sz w:val="28"/>
          <w:szCs w:val="28"/>
        </w:rPr>
      </w:pPr>
      <w:r w:rsidRPr="004D4262">
        <w:rPr>
          <w:b/>
          <w:bCs/>
          <w:sz w:val="28"/>
          <w:szCs w:val="28"/>
        </w:rPr>
        <w:t>Điều 1. Phạm vi điều chỉnh</w:t>
      </w:r>
    </w:p>
    <w:p w:rsidR="004D4262" w:rsidRPr="004D4262" w:rsidRDefault="004D4262" w:rsidP="004D4262">
      <w:pPr>
        <w:spacing w:before="120" w:after="100" w:afterAutospacing="1"/>
        <w:jc w:val="both"/>
        <w:rPr>
          <w:sz w:val="28"/>
          <w:szCs w:val="28"/>
        </w:rPr>
      </w:pPr>
      <w:r w:rsidRPr="004D4262">
        <w:rPr>
          <w:sz w:val="28"/>
          <w:szCs w:val="28"/>
        </w:rPr>
        <w:t>Thông tư này quy định nguyên tắc xây dựng, tiêu chí lựa chọn thuốc độc, nguyên liệu độc làm thuốc; Danh mục thuốc độc, nguyên liệu độc làm thuốc là dược chất, thuốc hóa dược; mục đích ban hành và trách nhiệm thực hiện.</w:t>
      </w:r>
    </w:p>
    <w:p w:rsidR="004D4262" w:rsidRPr="004D4262" w:rsidRDefault="004D4262" w:rsidP="004D4262">
      <w:pPr>
        <w:spacing w:before="120" w:after="100" w:afterAutospacing="1"/>
        <w:jc w:val="both"/>
        <w:rPr>
          <w:sz w:val="28"/>
          <w:szCs w:val="28"/>
        </w:rPr>
      </w:pPr>
      <w:r w:rsidRPr="004D4262">
        <w:rPr>
          <w:b/>
          <w:bCs/>
          <w:sz w:val="28"/>
          <w:szCs w:val="28"/>
        </w:rPr>
        <w:t>Điều 2. Nguyên tắc xây dựng và tiêu chí lựa chọn thuốc, nguyên liệu làm thuốc vào Danh mục thuốc độc, nguyên liệu độc làm thuốc</w:t>
      </w:r>
    </w:p>
    <w:p w:rsidR="004D4262" w:rsidRPr="004D4262" w:rsidRDefault="004D4262" w:rsidP="004D4262">
      <w:pPr>
        <w:spacing w:before="120" w:after="100" w:afterAutospacing="1"/>
        <w:jc w:val="both"/>
        <w:rPr>
          <w:sz w:val="28"/>
          <w:szCs w:val="28"/>
        </w:rPr>
      </w:pPr>
      <w:r w:rsidRPr="004D4262">
        <w:rPr>
          <w:sz w:val="28"/>
          <w:szCs w:val="28"/>
        </w:rPr>
        <w:t>1. Nguyên tắc xây dựng Danh mục thuốc độc, nguyên liệu độc làm thuốc:</w:t>
      </w:r>
    </w:p>
    <w:p w:rsidR="004D4262" w:rsidRPr="004D4262" w:rsidRDefault="004D4262" w:rsidP="004D4262">
      <w:pPr>
        <w:spacing w:before="120" w:after="100" w:afterAutospacing="1"/>
        <w:jc w:val="both"/>
        <w:rPr>
          <w:sz w:val="28"/>
          <w:szCs w:val="28"/>
        </w:rPr>
      </w:pPr>
      <w:r w:rsidRPr="004D4262">
        <w:rPr>
          <w:sz w:val="28"/>
          <w:szCs w:val="28"/>
        </w:rPr>
        <w:t>a) Bảo đảm an toàn cho người sử dụng;</w:t>
      </w:r>
    </w:p>
    <w:p w:rsidR="004D4262" w:rsidRPr="004D4262" w:rsidRDefault="004D4262" w:rsidP="004D4262">
      <w:pPr>
        <w:spacing w:before="120" w:after="100" w:afterAutospacing="1"/>
        <w:jc w:val="both"/>
        <w:rPr>
          <w:sz w:val="28"/>
          <w:szCs w:val="28"/>
        </w:rPr>
      </w:pPr>
      <w:r w:rsidRPr="004D4262">
        <w:rPr>
          <w:sz w:val="28"/>
          <w:szCs w:val="28"/>
        </w:rPr>
        <w:t>b) Bảo đảm việc tiếp cận thuốc kịp thời cho người dân;</w:t>
      </w:r>
    </w:p>
    <w:p w:rsidR="004D4262" w:rsidRPr="004D4262" w:rsidRDefault="004D4262" w:rsidP="004D4262">
      <w:pPr>
        <w:spacing w:before="120" w:after="100" w:afterAutospacing="1"/>
        <w:jc w:val="both"/>
        <w:rPr>
          <w:sz w:val="28"/>
          <w:szCs w:val="28"/>
        </w:rPr>
      </w:pPr>
      <w:r w:rsidRPr="004D4262">
        <w:rPr>
          <w:sz w:val="28"/>
          <w:szCs w:val="28"/>
        </w:rPr>
        <w:t>c) Phù hợp với thực tế sử dụng, cung ứng thuốc của Việt Nam;</w:t>
      </w:r>
    </w:p>
    <w:p w:rsidR="004D4262" w:rsidRPr="004D4262" w:rsidRDefault="004D4262" w:rsidP="004D4262">
      <w:pPr>
        <w:spacing w:before="120" w:after="100" w:afterAutospacing="1"/>
        <w:jc w:val="both"/>
        <w:rPr>
          <w:sz w:val="28"/>
          <w:szCs w:val="28"/>
        </w:rPr>
      </w:pPr>
      <w:r w:rsidRPr="004D4262">
        <w:rPr>
          <w:sz w:val="28"/>
          <w:szCs w:val="28"/>
        </w:rPr>
        <w:t>d) Hòa hợp với các nguyên tắc, quy định trong phân loại thuốc độc, nguyên liệu độc làm thuốc của các nước trong khu vực và trên thế giới;</w:t>
      </w:r>
    </w:p>
    <w:p w:rsidR="004D4262" w:rsidRPr="004D4262" w:rsidRDefault="004D4262" w:rsidP="004D4262">
      <w:pPr>
        <w:spacing w:before="120" w:after="100" w:afterAutospacing="1"/>
        <w:jc w:val="both"/>
        <w:rPr>
          <w:sz w:val="28"/>
          <w:szCs w:val="28"/>
        </w:rPr>
      </w:pPr>
      <w:r w:rsidRPr="004D4262">
        <w:rPr>
          <w:sz w:val="28"/>
          <w:szCs w:val="28"/>
        </w:rPr>
        <w:t>đ) Căn cứ vào tờ hướng dẫn sử dụng thuốc đã được phê duyệt, Dược thư Quốc gia, cơ sở dữ liệu về thuốc trên thế giới, các bài báo được đăng tải trên các tạp chí khoa học và các tài liệu khác có liên quan.</w:t>
      </w:r>
    </w:p>
    <w:p w:rsidR="004D4262" w:rsidRPr="004D4262" w:rsidRDefault="004D4262" w:rsidP="004D4262">
      <w:pPr>
        <w:spacing w:before="120" w:after="100" w:afterAutospacing="1"/>
        <w:jc w:val="both"/>
        <w:rPr>
          <w:sz w:val="28"/>
          <w:szCs w:val="28"/>
        </w:rPr>
      </w:pPr>
      <w:r w:rsidRPr="004D4262">
        <w:rPr>
          <w:sz w:val="28"/>
          <w:szCs w:val="28"/>
        </w:rPr>
        <w:lastRenderedPageBreak/>
        <w:t>2. Tiêu chí lựa chọn thuốc, nguyên liệu làm thuốc vào Danh mục thuốc độc, nguyên liệu độc làm thuốc:</w:t>
      </w:r>
    </w:p>
    <w:p w:rsidR="004D4262" w:rsidRPr="004D4262" w:rsidRDefault="004D4262" w:rsidP="004D4262">
      <w:pPr>
        <w:spacing w:before="120" w:after="100" w:afterAutospacing="1"/>
        <w:jc w:val="both"/>
        <w:rPr>
          <w:sz w:val="28"/>
          <w:szCs w:val="28"/>
        </w:rPr>
      </w:pPr>
      <w:r w:rsidRPr="004D4262">
        <w:rPr>
          <w:sz w:val="28"/>
          <w:szCs w:val="28"/>
        </w:rPr>
        <w:t>Thuốc, nguyên liệu làm thuốc được xem xét để lựa chọn vào Danh mục thuốc độc, nguyên liệu độc làm thuốc trong trường hợp có nguy cơ gây ra một hay nhiều khả năng sau đây ở trên người:</w:t>
      </w:r>
    </w:p>
    <w:p w:rsidR="004D4262" w:rsidRPr="004D4262" w:rsidRDefault="004D4262" w:rsidP="004D4262">
      <w:pPr>
        <w:spacing w:before="120" w:after="100" w:afterAutospacing="1"/>
        <w:jc w:val="both"/>
        <w:rPr>
          <w:sz w:val="28"/>
          <w:szCs w:val="28"/>
        </w:rPr>
      </w:pPr>
      <w:r w:rsidRPr="004D4262">
        <w:rPr>
          <w:sz w:val="28"/>
          <w:szCs w:val="28"/>
        </w:rPr>
        <w:t>a) Khả năng gây ung thư (Carcinogenicity);</w:t>
      </w:r>
    </w:p>
    <w:p w:rsidR="004D4262" w:rsidRPr="004D4262" w:rsidRDefault="004D4262" w:rsidP="004D4262">
      <w:pPr>
        <w:spacing w:before="120" w:after="100" w:afterAutospacing="1"/>
        <w:jc w:val="both"/>
        <w:rPr>
          <w:sz w:val="28"/>
          <w:szCs w:val="28"/>
        </w:rPr>
      </w:pPr>
      <w:r w:rsidRPr="004D4262">
        <w:rPr>
          <w:sz w:val="28"/>
          <w:szCs w:val="28"/>
        </w:rPr>
        <w:t>b) Khả năng gây dị tật bào thai hoặc trẻ sơ sinh (Teratogenicity) hoặc độc tính đối với sự phát triển (Developmental toxicity);</w:t>
      </w:r>
    </w:p>
    <w:p w:rsidR="004D4262" w:rsidRPr="004D4262" w:rsidRDefault="004D4262" w:rsidP="004D4262">
      <w:pPr>
        <w:spacing w:before="120" w:after="100" w:afterAutospacing="1"/>
        <w:jc w:val="both"/>
        <w:rPr>
          <w:sz w:val="28"/>
          <w:szCs w:val="28"/>
        </w:rPr>
      </w:pPr>
      <w:r w:rsidRPr="004D4262">
        <w:rPr>
          <w:sz w:val="28"/>
          <w:szCs w:val="28"/>
        </w:rPr>
        <w:t>c) Độc tính đối với sự sinh sản (Reproductive toxicity);</w:t>
      </w:r>
    </w:p>
    <w:p w:rsidR="004D4262" w:rsidRPr="004D4262" w:rsidRDefault="004D4262" w:rsidP="004D4262">
      <w:pPr>
        <w:spacing w:before="120" w:after="100" w:afterAutospacing="1"/>
        <w:jc w:val="both"/>
        <w:rPr>
          <w:sz w:val="28"/>
          <w:szCs w:val="28"/>
        </w:rPr>
      </w:pPr>
      <w:r w:rsidRPr="004D4262">
        <w:rPr>
          <w:sz w:val="28"/>
          <w:szCs w:val="28"/>
        </w:rPr>
        <w:t>d) Độc tính bộ phận cơ thể người ở liều thấp (Organ toxicity at low doses);</w:t>
      </w:r>
    </w:p>
    <w:p w:rsidR="004D4262" w:rsidRPr="004D4262" w:rsidRDefault="004D4262" w:rsidP="004D4262">
      <w:pPr>
        <w:spacing w:before="120" w:after="100" w:afterAutospacing="1"/>
        <w:jc w:val="both"/>
        <w:rPr>
          <w:sz w:val="28"/>
          <w:szCs w:val="28"/>
        </w:rPr>
      </w:pPr>
      <w:r w:rsidRPr="004D4262">
        <w:rPr>
          <w:sz w:val="28"/>
          <w:szCs w:val="28"/>
        </w:rPr>
        <w:t>đ) Khả năng gây đột biến gen (Genotoxicity).</w:t>
      </w:r>
    </w:p>
    <w:p w:rsidR="004D4262" w:rsidRPr="004D4262" w:rsidRDefault="004D4262" w:rsidP="004D4262">
      <w:pPr>
        <w:spacing w:before="120" w:after="100" w:afterAutospacing="1"/>
        <w:jc w:val="both"/>
        <w:rPr>
          <w:sz w:val="28"/>
          <w:szCs w:val="28"/>
        </w:rPr>
      </w:pPr>
      <w:r w:rsidRPr="004D4262">
        <w:rPr>
          <w:b/>
          <w:bCs/>
          <w:sz w:val="28"/>
          <w:szCs w:val="28"/>
        </w:rPr>
        <w:t>Điều 3. Danh mục thuốc độc, nguyên liệu độc làm thuốc</w:t>
      </w:r>
    </w:p>
    <w:p w:rsidR="004D4262" w:rsidRPr="004D4262" w:rsidRDefault="004D4262" w:rsidP="004D4262">
      <w:pPr>
        <w:spacing w:before="120" w:after="100" w:afterAutospacing="1"/>
        <w:jc w:val="both"/>
        <w:rPr>
          <w:sz w:val="28"/>
          <w:szCs w:val="28"/>
        </w:rPr>
      </w:pPr>
      <w:r w:rsidRPr="004D4262">
        <w:rPr>
          <w:sz w:val="28"/>
          <w:szCs w:val="28"/>
        </w:rPr>
        <w:t>Danh mục thuốc độc và nguyên liệu độc làm thuốc được ban hành kèm theo Thông tư này.</w:t>
      </w:r>
    </w:p>
    <w:p w:rsidR="004D4262" w:rsidRPr="004D4262" w:rsidRDefault="004D4262" w:rsidP="004D4262">
      <w:pPr>
        <w:spacing w:before="120" w:after="100" w:afterAutospacing="1"/>
        <w:jc w:val="both"/>
        <w:rPr>
          <w:sz w:val="28"/>
          <w:szCs w:val="28"/>
        </w:rPr>
      </w:pPr>
      <w:r w:rsidRPr="004D4262">
        <w:rPr>
          <w:b/>
          <w:bCs/>
          <w:sz w:val="28"/>
          <w:szCs w:val="28"/>
        </w:rPr>
        <w:t>Điều 4. Mục đích ban hành Danh mục thuốc độc, nguyên liệu độc làm thuốc</w:t>
      </w:r>
    </w:p>
    <w:p w:rsidR="004D4262" w:rsidRPr="004D4262" w:rsidRDefault="004D4262" w:rsidP="004D4262">
      <w:pPr>
        <w:spacing w:before="120" w:after="100" w:afterAutospacing="1"/>
        <w:jc w:val="both"/>
        <w:rPr>
          <w:sz w:val="28"/>
          <w:szCs w:val="28"/>
        </w:rPr>
      </w:pPr>
      <w:r w:rsidRPr="004D4262">
        <w:rPr>
          <w:sz w:val="28"/>
          <w:szCs w:val="28"/>
        </w:rPr>
        <w:t>Ban hành Danh mục thuốc độc, nguyên liệu độc làm thuốc là cơ sở để cơ quan quản lý nhà nước có thẩm quyền thực hiện quy định về quản lý đối với thuốc độc, nguyên liệu độc làm thuốc trong kinh doanh, ghi nhãn, kê đơn, cấp phát, pha chế, bảo quản, sử dụng, thanh tra, kiểm tra, xử lý vi phạm và các hoạt động khác có liên quan.</w:t>
      </w:r>
    </w:p>
    <w:p w:rsidR="004D4262" w:rsidRPr="004D4262" w:rsidRDefault="004D4262" w:rsidP="004D4262">
      <w:pPr>
        <w:spacing w:before="120" w:after="100" w:afterAutospacing="1"/>
        <w:jc w:val="both"/>
        <w:rPr>
          <w:sz w:val="28"/>
          <w:szCs w:val="28"/>
        </w:rPr>
      </w:pPr>
      <w:r w:rsidRPr="004D4262">
        <w:rPr>
          <w:b/>
          <w:bCs/>
          <w:sz w:val="28"/>
          <w:szCs w:val="28"/>
        </w:rPr>
        <w:t>Điều 5. Hiệu lực thi hành</w:t>
      </w:r>
    </w:p>
    <w:p w:rsidR="004D4262" w:rsidRPr="004D4262" w:rsidRDefault="004D4262" w:rsidP="004D4262">
      <w:pPr>
        <w:spacing w:before="120" w:after="100" w:afterAutospacing="1"/>
        <w:jc w:val="both"/>
        <w:rPr>
          <w:sz w:val="28"/>
          <w:szCs w:val="28"/>
        </w:rPr>
      </w:pPr>
      <w:r w:rsidRPr="004D4262">
        <w:rPr>
          <w:sz w:val="28"/>
          <w:szCs w:val="28"/>
        </w:rPr>
        <w:t>Thông tư này có hiệu lực thi hành kể từ ngày 01 tháng 7 năm 2017.</w:t>
      </w:r>
    </w:p>
    <w:p w:rsidR="004D4262" w:rsidRPr="004D4262" w:rsidRDefault="004D4262" w:rsidP="004D4262">
      <w:pPr>
        <w:spacing w:before="120" w:after="100" w:afterAutospacing="1"/>
        <w:jc w:val="both"/>
        <w:rPr>
          <w:sz w:val="28"/>
          <w:szCs w:val="28"/>
        </w:rPr>
      </w:pPr>
      <w:r w:rsidRPr="004D4262">
        <w:rPr>
          <w:b/>
          <w:bCs/>
          <w:sz w:val="28"/>
          <w:szCs w:val="28"/>
        </w:rPr>
        <w:t>Điều 6. Điều khoản chuyển tiếp</w:t>
      </w:r>
    </w:p>
    <w:p w:rsidR="004D4262" w:rsidRPr="004D4262" w:rsidRDefault="004D4262" w:rsidP="004D4262">
      <w:pPr>
        <w:spacing w:before="120" w:after="100" w:afterAutospacing="1"/>
        <w:jc w:val="both"/>
        <w:rPr>
          <w:sz w:val="28"/>
          <w:szCs w:val="28"/>
        </w:rPr>
      </w:pPr>
      <w:r w:rsidRPr="004D4262">
        <w:rPr>
          <w:sz w:val="28"/>
          <w:szCs w:val="28"/>
        </w:rPr>
        <w:t>1. Đối với các thuốc, nguyên liệu làm thuốc đã được cấp giấy đăng ký lưu hành hoặc được cấp giấy phép nhập khẩu trước ngày Thông tư này có hiệu lực, các cơ sở đứng tên trên giấy đăng ký lưu hành, cơ sở nhập khẩu thuốc, nguyên liệu làm thuốc phải phân loại, cập nhật, bổ sung các thông tin liên quan đến việc phân loại thuốc, nguyên liệu làm thuốc theo quy định của Thông tư này trên nhãn và tờ hướng dẫn sử dụng thuốc theo lộ trình quy định tại Thông tư quy định về ghi nhãn thuốc, nguyên liệu làm thuốc do Bộ trưởng Bộ Y tế ban hành trước khi đưa thuốc, nguyên liệu làm thuốc ra lưu thông trên thị trường.</w:t>
      </w:r>
    </w:p>
    <w:p w:rsidR="004D4262" w:rsidRPr="004D4262" w:rsidRDefault="004D4262" w:rsidP="004D4262">
      <w:pPr>
        <w:spacing w:before="120" w:after="100" w:afterAutospacing="1"/>
        <w:jc w:val="both"/>
        <w:rPr>
          <w:sz w:val="28"/>
          <w:szCs w:val="28"/>
        </w:rPr>
      </w:pPr>
      <w:r w:rsidRPr="004D4262">
        <w:rPr>
          <w:sz w:val="28"/>
          <w:szCs w:val="28"/>
        </w:rPr>
        <w:t>2. Đối với thuốc, dược chất có hồ sơ đăng ký tại Việt Nam hoặc hồ sơ nhập khẩu thuốc chưa có giấy đăng ký lưu hành tại Việt Nam đã nộp tại Cục Quản lý Dược trước ngày Thông tư này có hiệu lực nhưng chưa được cấp giấy đăng ky lưu hành hoặc cấp giấy phép nhập khẩu thì phải thực hiện phân loại theo quy định tại Thông tư này.</w:t>
      </w:r>
    </w:p>
    <w:p w:rsidR="004D4262" w:rsidRPr="004D4262" w:rsidRDefault="004D4262" w:rsidP="004D4262">
      <w:pPr>
        <w:spacing w:before="120" w:after="100" w:afterAutospacing="1"/>
        <w:jc w:val="both"/>
        <w:rPr>
          <w:sz w:val="28"/>
          <w:szCs w:val="28"/>
        </w:rPr>
      </w:pPr>
      <w:r w:rsidRPr="004D4262">
        <w:rPr>
          <w:b/>
          <w:bCs/>
          <w:sz w:val="28"/>
          <w:szCs w:val="28"/>
        </w:rPr>
        <w:t>Điều 7. Trách nhiệm thi hành</w:t>
      </w:r>
    </w:p>
    <w:p w:rsidR="004D4262" w:rsidRPr="004D4262" w:rsidRDefault="004D4262" w:rsidP="004D4262">
      <w:pPr>
        <w:spacing w:before="120" w:after="100" w:afterAutospacing="1"/>
        <w:jc w:val="both"/>
        <w:rPr>
          <w:sz w:val="28"/>
          <w:szCs w:val="28"/>
        </w:rPr>
      </w:pPr>
      <w:r w:rsidRPr="004D4262">
        <w:rPr>
          <w:sz w:val="28"/>
          <w:szCs w:val="28"/>
        </w:rPr>
        <w:t>1. Trách nhiệm của cơ sở dược, cơ sở khám bệnh, chữa bệnh:</w:t>
      </w:r>
    </w:p>
    <w:p w:rsidR="004D4262" w:rsidRPr="004D4262" w:rsidRDefault="004D4262" w:rsidP="004D4262">
      <w:pPr>
        <w:spacing w:before="120" w:after="100" w:afterAutospacing="1"/>
        <w:jc w:val="both"/>
        <w:rPr>
          <w:sz w:val="28"/>
          <w:szCs w:val="28"/>
        </w:rPr>
      </w:pPr>
      <w:r w:rsidRPr="004D4262">
        <w:rPr>
          <w:sz w:val="28"/>
          <w:szCs w:val="28"/>
        </w:rPr>
        <w:t>a) Thực hiện các quy định về quản lý thuốc độc, nguyên liệu độc làm thuốc trong Danh mục quy định tại Điều 3 của Thông tư này theo Thông tư quy định chi tiết một số Điều của Luật dược về thuốc phải kiểm soát đặc biệt do Bộ trưởng Bộ Y tế ban hành;</w:t>
      </w:r>
    </w:p>
    <w:p w:rsidR="004D4262" w:rsidRPr="004D4262" w:rsidRDefault="004D4262" w:rsidP="004D4262">
      <w:pPr>
        <w:spacing w:before="120" w:after="100" w:afterAutospacing="1"/>
        <w:jc w:val="both"/>
        <w:rPr>
          <w:sz w:val="28"/>
          <w:szCs w:val="28"/>
        </w:rPr>
      </w:pPr>
      <w:r w:rsidRPr="004D4262">
        <w:rPr>
          <w:sz w:val="28"/>
          <w:szCs w:val="28"/>
        </w:rPr>
        <w:t>b) Đề xuất sửa đổi, bổ sung Danh mục thuốc độc, nguyên liệu độc làm thuốc cho phù hợp tình hình thực tế, bảo đảm đáp ứng kịp thời thuốc phục vụ cho công tác phòng bệnh, chữa bệnh.</w:t>
      </w:r>
    </w:p>
    <w:p w:rsidR="004D4262" w:rsidRPr="004D4262" w:rsidRDefault="004D4262" w:rsidP="004D4262">
      <w:pPr>
        <w:spacing w:before="120" w:after="100" w:afterAutospacing="1"/>
        <w:jc w:val="both"/>
        <w:rPr>
          <w:sz w:val="28"/>
          <w:szCs w:val="28"/>
        </w:rPr>
      </w:pPr>
      <w:r w:rsidRPr="004D4262">
        <w:rPr>
          <w:sz w:val="28"/>
          <w:szCs w:val="28"/>
        </w:rPr>
        <w:t>2. Trách nhiệm của Cục Quản lý Dược:</w:t>
      </w:r>
    </w:p>
    <w:p w:rsidR="004D4262" w:rsidRPr="004D4262" w:rsidRDefault="004D4262" w:rsidP="004D4262">
      <w:pPr>
        <w:spacing w:before="120" w:after="100" w:afterAutospacing="1"/>
        <w:jc w:val="both"/>
        <w:rPr>
          <w:sz w:val="28"/>
          <w:szCs w:val="28"/>
        </w:rPr>
      </w:pPr>
      <w:r w:rsidRPr="004D4262">
        <w:rPr>
          <w:sz w:val="28"/>
          <w:szCs w:val="28"/>
        </w:rPr>
        <w:t>a) Chủ trì, phối hợp với các cơ quan chức năng thực hiện Thông tư này;</w:t>
      </w:r>
    </w:p>
    <w:p w:rsidR="004D4262" w:rsidRPr="004D4262" w:rsidRDefault="004D4262" w:rsidP="004D4262">
      <w:pPr>
        <w:spacing w:before="120" w:after="100" w:afterAutospacing="1"/>
        <w:jc w:val="both"/>
        <w:rPr>
          <w:sz w:val="28"/>
          <w:szCs w:val="28"/>
        </w:rPr>
      </w:pPr>
      <w:r w:rsidRPr="004D4262">
        <w:rPr>
          <w:sz w:val="28"/>
          <w:szCs w:val="28"/>
        </w:rPr>
        <w:t>b) Rà soát Danh mục thuốc độc, nguyên liệu độc làm thuốc và báo cáo Bộ trưởng Bộ Y tế trên cơ sở đề xuất sửa đổi, bổ sung của các đơn vị quy định tại Khoản 1 Điều này hoặc kết luận của Hội đồng tư vấn cấp giấy đăng ký lưu hành thuốc, nguyên liệu làm thuốc.</w:t>
      </w:r>
    </w:p>
    <w:p w:rsidR="004D4262" w:rsidRPr="004D4262" w:rsidRDefault="004D4262" w:rsidP="004D4262">
      <w:pPr>
        <w:spacing w:before="120" w:after="100" w:afterAutospacing="1"/>
        <w:jc w:val="both"/>
        <w:rPr>
          <w:sz w:val="28"/>
          <w:szCs w:val="28"/>
        </w:rPr>
      </w:pPr>
      <w:r w:rsidRPr="004D4262">
        <w:rPr>
          <w:sz w:val="28"/>
          <w:szCs w:val="28"/>
        </w:rPr>
        <w:t>Trong quá trình thực hiện nếu có vấn đề vướng mắc, đề nghị các cơ quan, tổ chức, cá nhân kịp thời phản ánh về Cục Quản lý Dược (Bộ Y tế) để xem xét, giải quyết./.</w:t>
      </w:r>
    </w:p>
    <w:p w:rsidR="004D4262" w:rsidRPr="004D4262" w:rsidRDefault="004D4262" w:rsidP="004D4262">
      <w:pPr>
        <w:spacing w:before="120" w:after="100" w:afterAutospacing="1"/>
        <w:jc w:val="both"/>
        <w:rPr>
          <w:sz w:val="28"/>
          <w:szCs w:val="28"/>
        </w:rPr>
      </w:pPr>
      <w:r w:rsidRPr="004D4262">
        <w:rPr>
          <w:sz w:val="28"/>
          <w:szCs w:val="28"/>
        </w:rPr>
        <w:t> </w:t>
      </w:r>
    </w:p>
    <w:tbl>
      <w:tblPr>
        <w:tblW w:w="0" w:type="auto"/>
        <w:tblLayout w:type="fixed"/>
        <w:tblCellMar>
          <w:left w:w="0" w:type="dxa"/>
          <w:right w:w="0" w:type="dxa"/>
        </w:tblCellMar>
        <w:tblLook w:val="0000" w:firstRow="0" w:lastRow="0" w:firstColumn="0" w:lastColumn="0" w:noHBand="0" w:noVBand="0"/>
      </w:tblPr>
      <w:tblGrid>
        <w:gridCol w:w="4261"/>
        <w:gridCol w:w="4379"/>
      </w:tblGrid>
      <w:tr w:rsidR="004D4262" w:rsidRPr="004D4262" w:rsidTr="00192830">
        <w:tc>
          <w:tcPr>
            <w:tcW w:w="4261" w:type="dxa"/>
            <w:tcBorders>
              <w:tl2br w:val="nil"/>
              <w:tr2bl w:val="nil"/>
            </w:tcBorders>
            <w:tcMar>
              <w:top w:w="0" w:type="dxa"/>
              <w:left w:w="108" w:type="dxa"/>
              <w:bottom w:w="0" w:type="dxa"/>
              <w:right w:w="108" w:type="dxa"/>
            </w:tcMar>
          </w:tcPr>
          <w:p w:rsidR="004D4262" w:rsidRPr="004D4262" w:rsidRDefault="004D4262" w:rsidP="00192830">
            <w:pPr>
              <w:spacing w:before="120"/>
              <w:rPr>
                <w:sz w:val="28"/>
                <w:szCs w:val="28"/>
              </w:rPr>
            </w:pPr>
            <w:r w:rsidRPr="004D4262">
              <w:rPr>
                <w:b/>
                <w:bCs/>
                <w:i/>
                <w:iCs/>
                <w:sz w:val="28"/>
                <w:szCs w:val="28"/>
              </w:rPr>
              <w:br/>
              <w:t>Nơi nhận:</w:t>
            </w:r>
            <w:r w:rsidRPr="004D4262">
              <w:rPr>
                <w:b/>
                <w:bCs/>
                <w:i/>
                <w:iCs/>
                <w:sz w:val="28"/>
                <w:szCs w:val="28"/>
              </w:rPr>
              <w:br/>
            </w:r>
            <w:r w:rsidRPr="004D4262">
              <w:rPr>
                <w:sz w:val="28"/>
                <w:szCs w:val="28"/>
              </w:rPr>
              <w:t>- Văn phòng Chính phủ (Công báo, Cổng Thông tin điện tử CP);</w:t>
            </w:r>
            <w:r w:rsidRPr="004D4262">
              <w:rPr>
                <w:sz w:val="28"/>
                <w:szCs w:val="28"/>
              </w:rPr>
              <w:br/>
              <w:t>- Bộ trưởng Nguyễn Thị Kim Tiến;</w:t>
            </w:r>
            <w:r w:rsidRPr="004D4262">
              <w:rPr>
                <w:sz w:val="28"/>
                <w:szCs w:val="28"/>
              </w:rPr>
              <w:br/>
              <w:t>- Các Thứ trưởng Bộ Y tế;</w:t>
            </w:r>
            <w:r w:rsidRPr="004D4262">
              <w:rPr>
                <w:sz w:val="28"/>
                <w:szCs w:val="28"/>
              </w:rPr>
              <w:br/>
              <w:t>- Bộ Tư pháp (Cục Kiểm tra văn bản QPPL);</w:t>
            </w:r>
            <w:r w:rsidRPr="004D4262">
              <w:rPr>
                <w:sz w:val="28"/>
                <w:szCs w:val="28"/>
              </w:rPr>
              <w:br/>
              <w:t>- Các Bộ: Bộ Công an (Cục Y tế), Bộ Quốc phòng (Cục Quân y); Bộ Giao thông vận tải (Cục Y tế);</w:t>
            </w:r>
            <w:r w:rsidRPr="004D4262">
              <w:rPr>
                <w:sz w:val="28"/>
                <w:szCs w:val="28"/>
              </w:rPr>
              <w:br/>
              <w:t>- Sở Y tế các tỉnh, thành phố trực thuộc TW;</w:t>
            </w:r>
            <w:r w:rsidRPr="004D4262">
              <w:rPr>
                <w:sz w:val="28"/>
                <w:szCs w:val="28"/>
              </w:rPr>
              <w:br/>
              <w:t>- Các Vụ, Cục, Tổng cục, Văn phòng Bộ, Thanh tra Bộ - Bộ Y tế;</w:t>
            </w:r>
            <w:r w:rsidRPr="004D4262">
              <w:rPr>
                <w:sz w:val="28"/>
                <w:szCs w:val="28"/>
              </w:rPr>
              <w:br/>
              <w:t>- Hiệp hội Doanh nghiệp dược Việt Nam;</w:t>
            </w:r>
            <w:r w:rsidRPr="004D4262">
              <w:rPr>
                <w:sz w:val="28"/>
                <w:szCs w:val="28"/>
              </w:rPr>
              <w:br/>
              <w:t>- Tổng Công ty Dược Việt Nam</w:t>
            </w:r>
            <w:r w:rsidRPr="004D4262">
              <w:rPr>
                <w:sz w:val="28"/>
                <w:szCs w:val="28"/>
              </w:rPr>
              <w:br/>
              <w:t>- Cổng Thông tin điện tử Bộ Y tế;</w:t>
            </w:r>
            <w:r w:rsidRPr="004D4262">
              <w:rPr>
                <w:sz w:val="28"/>
                <w:szCs w:val="28"/>
              </w:rPr>
              <w:br/>
              <w:t>- Lưu: VT, QLD, PC.</w:t>
            </w:r>
          </w:p>
        </w:tc>
        <w:tc>
          <w:tcPr>
            <w:tcW w:w="4379" w:type="dxa"/>
            <w:tcBorders>
              <w:tl2br w:val="nil"/>
              <w:tr2bl w:val="nil"/>
            </w:tcBorders>
            <w:tcMar>
              <w:top w:w="0" w:type="dxa"/>
              <w:left w:w="108" w:type="dxa"/>
              <w:bottom w:w="0" w:type="dxa"/>
              <w:right w:w="108" w:type="dxa"/>
            </w:tcMar>
          </w:tcPr>
          <w:p w:rsidR="004D4262" w:rsidRPr="004D4262" w:rsidRDefault="004D4262" w:rsidP="00192830">
            <w:pPr>
              <w:spacing w:before="120"/>
              <w:jc w:val="center"/>
              <w:rPr>
                <w:sz w:val="28"/>
                <w:szCs w:val="28"/>
              </w:rPr>
            </w:pPr>
            <w:r w:rsidRPr="004D4262">
              <w:rPr>
                <w:b/>
                <w:bCs/>
                <w:sz w:val="28"/>
                <w:szCs w:val="28"/>
              </w:rPr>
              <w:t>KT. BỘ TRƯỞNG</w:t>
            </w:r>
            <w:r w:rsidRPr="004D4262">
              <w:rPr>
                <w:b/>
                <w:bCs/>
                <w:sz w:val="28"/>
                <w:szCs w:val="28"/>
              </w:rPr>
              <w:br/>
              <w:t>THỨ TRƯỞNG</w:t>
            </w:r>
            <w:r w:rsidRPr="004D4262">
              <w:rPr>
                <w:b/>
                <w:bCs/>
                <w:sz w:val="28"/>
                <w:szCs w:val="28"/>
              </w:rPr>
              <w:br/>
            </w:r>
            <w:r w:rsidRPr="004D4262">
              <w:rPr>
                <w:b/>
                <w:bCs/>
                <w:sz w:val="28"/>
                <w:szCs w:val="28"/>
              </w:rPr>
              <w:br/>
            </w:r>
            <w:r w:rsidRPr="004D4262">
              <w:rPr>
                <w:b/>
                <w:bCs/>
                <w:sz w:val="28"/>
                <w:szCs w:val="28"/>
              </w:rPr>
              <w:br/>
            </w:r>
            <w:r w:rsidRPr="004D4262">
              <w:rPr>
                <w:b/>
                <w:bCs/>
                <w:sz w:val="28"/>
                <w:szCs w:val="28"/>
              </w:rPr>
              <w:br/>
            </w:r>
            <w:r w:rsidRPr="004D4262">
              <w:rPr>
                <w:b/>
                <w:bCs/>
                <w:sz w:val="28"/>
                <w:szCs w:val="28"/>
              </w:rPr>
              <w:br/>
              <w:t>Trương Quốc Cường</w:t>
            </w:r>
          </w:p>
        </w:tc>
      </w:tr>
    </w:tbl>
    <w:p w:rsidR="004D4262" w:rsidRPr="004D4262" w:rsidRDefault="004D4262" w:rsidP="004D4262">
      <w:pPr>
        <w:spacing w:before="120" w:after="100" w:afterAutospacing="1"/>
        <w:jc w:val="center"/>
        <w:rPr>
          <w:sz w:val="28"/>
          <w:szCs w:val="28"/>
        </w:rPr>
      </w:pPr>
    </w:p>
    <w:p w:rsidR="004D4262" w:rsidRPr="004D4262" w:rsidRDefault="004D4262" w:rsidP="004D4262">
      <w:pPr>
        <w:spacing w:before="120" w:after="100" w:afterAutospacing="1"/>
        <w:jc w:val="center"/>
        <w:rPr>
          <w:sz w:val="28"/>
          <w:szCs w:val="28"/>
        </w:rPr>
      </w:pPr>
      <w:r w:rsidRPr="004D4262">
        <w:rPr>
          <w:b/>
          <w:bCs/>
          <w:sz w:val="28"/>
          <w:szCs w:val="28"/>
        </w:rPr>
        <w:t>DANH MỤC</w:t>
      </w:r>
    </w:p>
    <w:p w:rsidR="004D4262" w:rsidRPr="004D4262" w:rsidRDefault="004D4262" w:rsidP="004D4262">
      <w:pPr>
        <w:spacing w:before="120" w:after="100" w:afterAutospacing="1"/>
        <w:jc w:val="center"/>
        <w:rPr>
          <w:sz w:val="28"/>
          <w:szCs w:val="28"/>
        </w:rPr>
      </w:pPr>
      <w:r w:rsidRPr="004D4262">
        <w:rPr>
          <w:sz w:val="28"/>
          <w:szCs w:val="28"/>
        </w:rPr>
        <w:t>THUỐC ĐỘC VÀ NGUYÊN LIỆU ĐỘC LÀM THUỐC</w:t>
      </w:r>
      <w:r w:rsidRPr="004D4262">
        <w:rPr>
          <w:sz w:val="28"/>
          <w:szCs w:val="28"/>
        </w:rPr>
        <w:br/>
      </w:r>
      <w:r w:rsidRPr="004D4262">
        <w:rPr>
          <w:i/>
          <w:iCs/>
          <w:sz w:val="28"/>
          <w:szCs w:val="28"/>
        </w:rPr>
        <w:t>(Ban hành kèm theo Thông tư số: 06/2017/TT-BYT ngày 03 tháng 5 năm 2017 của Bộ trưởng Bộ Y tế)</w:t>
      </w:r>
    </w:p>
    <w:tbl>
      <w:tblPr>
        <w:tblW w:w="0" w:type="auto"/>
        <w:tblLayout w:type="fixed"/>
        <w:tblCellMar>
          <w:left w:w="0" w:type="dxa"/>
          <w:right w:w="0" w:type="dxa"/>
        </w:tblCellMar>
        <w:tblLook w:val="0000" w:firstRow="0" w:lastRow="0" w:firstColumn="0" w:lastColumn="0" w:noHBand="0" w:noVBand="0"/>
      </w:tblPr>
      <w:tblGrid>
        <w:gridCol w:w="603"/>
        <w:gridCol w:w="4557"/>
        <w:gridCol w:w="3480"/>
      </w:tblGrid>
      <w:tr w:rsidR="004D4262" w:rsidRPr="004D4262" w:rsidTr="00192830">
        <w:tc>
          <w:tcPr>
            <w:tcW w:w="60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b/>
                <w:bCs/>
                <w:sz w:val="28"/>
                <w:szCs w:val="28"/>
              </w:rPr>
              <w:t>TT</w:t>
            </w:r>
          </w:p>
        </w:tc>
        <w:tc>
          <w:tcPr>
            <w:tcW w:w="455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b/>
                <w:bCs/>
                <w:sz w:val="28"/>
                <w:szCs w:val="28"/>
              </w:rPr>
              <w:t>Nguyên liệu độc/ Thuốc chứa nguyên liệu độc</w:t>
            </w:r>
          </w:p>
        </w:tc>
        <w:tc>
          <w:tcPr>
            <w:tcW w:w="348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b/>
                <w:bCs/>
                <w:sz w:val="28"/>
                <w:szCs w:val="28"/>
              </w:rPr>
              <w:t>Đường dùng, dạng bào chế của thuốc độc</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Abirateron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2</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Acid valproic</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 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3</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Anastrozol</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4</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Arsenic trioxid</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5</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Atracurium besylat</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6</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Atropin sulfat</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7</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Azacitidin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8</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Bicalutamid</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9</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Bleomycin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10</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Bortezomib</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Botulinum toxin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12</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Bupivacain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13</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Capecitabin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14</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Carbamazepin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15</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Carboplatin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16</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Carmustin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17</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Cetrorelix</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18</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Chlorambucil</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19</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Choriogonadotropin alfa</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20</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Cisplatin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21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Colistin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22</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Conjugated Oestrogens</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23</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Cyclophosphamid</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 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24</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Cyclosporin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25</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Cytarabin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4D4262" w:rsidRPr="004D4262" w:rsidRDefault="004D4262" w:rsidP="00192830">
            <w:pPr>
              <w:spacing w:before="120"/>
              <w:jc w:val="both"/>
              <w:rPr>
                <w:sz w:val="28"/>
                <w:szCs w:val="28"/>
              </w:rPr>
            </w:pPr>
            <w:r w:rsidRPr="004D4262">
              <w:rPr>
                <w:sz w:val="28"/>
                <w:szCs w:val="28"/>
              </w:rPr>
              <w:t>26</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Dacarbazine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27</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Dactinomycin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4D4262" w:rsidRPr="004D4262" w:rsidRDefault="004D4262" w:rsidP="00192830">
            <w:pPr>
              <w:spacing w:before="120"/>
              <w:jc w:val="both"/>
              <w:rPr>
                <w:sz w:val="28"/>
                <w:szCs w:val="28"/>
              </w:rPr>
            </w:pPr>
            <w:r w:rsidRPr="004D4262">
              <w:rPr>
                <w:sz w:val="28"/>
                <w:szCs w:val="28"/>
              </w:rPr>
              <w:t>28</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Daunorubicin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29</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Degarelix</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30</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Desflurane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Khí hóa lỏng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31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Dexmedetomidin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32</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Docetaxel</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33</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Doxorubicin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34</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Entecavir</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35</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Epirubicin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36</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Erlotinib</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37</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Estradiol</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38</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Etoposide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 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39</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Everolimus</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40</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Exemestane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41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Fludarabine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42</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Fluorouracil (5-FU)</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43</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Flutamide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44</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Fulvestrant</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45</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Ganciclovir</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46</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Ganirelix</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47</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Gefitinib</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48</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Gemcitabine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49</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Goserelin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50</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Halothan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Khí hóa lỏng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51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Hydroxyurea</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52</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Ifosfamide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53</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Imatinib</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54</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Irinotecan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55</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Isofluran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Khí hóa lỏng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56</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Lenalidomide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57</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Letrozole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58</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Leuprorelin (Leuprolide)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59</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Levobupivacain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60</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Medroxy progesterone acetate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4D4262" w:rsidRPr="004D4262" w:rsidRDefault="004D4262" w:rsidP="00192830">
            <w:pPr>
              <w:spacing w:before="120"/>
              <w:jc w:val="both"/>
              <w:rPr>
                <w:sz w:val="28"/>
                <w:szCs w:val="28"/>
              </w:rPr>
            </w:pPr>
            <w:r w:rsidRPr="004D4262">
              <w:rPr>
                <w:sz w:val="28"/>
                <w:szCs w:val="28"/>
              </w:rPr>
              <w:t>61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Menotropin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62</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Mepivacain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63</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Mercaptopurine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64</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Methotrexate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 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65</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Methyltestosteron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66</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Mitomycin C</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67</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Mitoxantrone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4D4262" w:rsidRPr="004D4262" w:rsidRDefault="004D4262" w:rsidP="00192830">
            <w:pPr>
              <w:spacing w:before="120"/>
              <w:jc w:val="both"/>
              <w:rPr>
                <w:sz w:val="28"/>
                <w:szCs w:val="28"/>
              </w:rPr>
            </w:pPr>
            <w:r w:rsidRPr="004D4262">
              <w:rPr>
                <w:sz w:val="28"/>
                <w:szCs w:val="28"/>
              </w:rPr>
              <w:t>68</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Mycophenolate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69</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Neostigmin metylsulfat</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70</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Nilotinib</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71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Octreotide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72</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Oxaliplatin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73</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Oxcarbazepine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74</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Oxytocin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75</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Paclitaxel</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76</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Pamidronat disodium</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 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77</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Pancuronium bromid</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78</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Pazopanib</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79</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Pemetrexed</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4D4262" w:rsidRPr="004D4262" w:rsidRDefault="004D4262" w:rsidP="00192830">
            <w:pPr>
              <w:spacing w:before="120"/>
              <w:jc w:val="both"/>
              <w:rPr>
                <w:sz w:val="28"/>
                <w:szCs w:val="28"/>
              </w:rPr>
            </w:pPr>
            <w:r w:rsidRPr="004D4262">
              <w:rPr>
                <w:sz w:val="28"/>
                <w:szCs w:val="28"/>
              </w:rPr>
              <w:t>80</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Pipecuronium bromid</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4D4262" w:rsidRPr="004D4262" w:rsidRDefault="004D4262" w:rsidP="00192830">
            <w:pPr>
              <w:spacing w:before="120"/>
              <w:jc w:val="both"/>
              <w:rPr>
                <w:sz w:val="28"/>
                <w:szCs w:val="28"/>
              </w:rPr>
            </w:pPr>
            <w:r w:rsidRPr="004D4262">
              <w:rPr>
                <w:sz w:val="28"/>
                <w:szCs w:val="28"/>
              </w:rPr>
              <w:t>81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Procain hydroclorid</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4D4262" w:rsidRPr="004D4262" w:rsidRDefault="004D4262" w:rsidP="00192830">
            <w:pPr>
              <w:spacing w:before="120"/>
              <w:jc w:val="both"/>
              <w:rPr>
                <w:sz w:val="28"/>
                <w:szCs w:val="28"/>
              </w:rPr>
            </w:pPr>
            <w:r w:rsidRPr="004D4262">
              <w:rPr>
                <w:sz w:val="28"/>
                <w:szCs w:val="28"/>
              </w:rPr>
              <w:t>82</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Progesterone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83</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Propofol</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84</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Pyridostigmin bromid</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85</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Ribavirin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 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4D4262" w:rsidRPr="004D4262" w:rsidRDefault="004D4262" w:rsidP="00192830">
            <w:pPr>
              <w:spacing w:before="120"/>
              <w:jc w:val="both"/>
              <w:rPr>
                <w:sz w:val="28"/>
                <w:szCs w:val="28"/>
              </w:rPr>
            </w:pPr>
            <w:r w:rsidRPr="004D4262">
              <w:rPr>
                <w:sz w:val="28"/>
                <w:szCs w:val="28"/>
              </w:rPr>
              <w:t>86</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Rocuronium bromide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87</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Ropivacaine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4D4262" w:rsidRPr="004D4262" w:rsidRDefault="004D4262" w:rsidP="00192830">
            <w:pPr>
              <w:spacing w:before="120"/>
              <w:jc w:val="both"/>
              <w:rPr>
                <w:sz w:val="28"/>
                <w:szCs w:val="28"/>
              </w:rPr>
            </w:pPr>
            <w:r w:rsidRPr="004D4262">
              <w:rPr>
                <w:sz w:val="28"/>
                <w:szCs w:val="28"/>
              </w:rPr>
              <w:t>88</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Sevofluran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Khí hóa lỏng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89</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Sirolimus</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90</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Sorafenib</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91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Sunitinib</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92</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Suxamethonium clorid</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93</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Tacrolimus</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 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94</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Talniflumat</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95</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Tamoxifen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96</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Temozolomide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97</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Testosterone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 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98</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Thalidomide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99</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Thiopental</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100</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Thiotepa</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101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Thymosin alpha I</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102</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Topotecan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 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103</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Triptorelin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104</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Tritenoin (All-Trans Retinoic Acid)</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105</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Valganciclovir</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106</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Vecuronium bromide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107</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Vinblastine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108</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Vincristin</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109</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Vinorelbine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Tiêm: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110</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Zidovudine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r w:rsidR="004D4262" w:rsidRPr="004D4262" w:rsidTr="00192830">
        <w:tc>
          <w:tcPr>
            <w:tcW w:w="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4D4262" w:rsidRPr="004D4262" w:rsidRDefault="004D4262" w:rsidP="00192830">
            <w:pPr>
              <w:spacing w:before="120"/>
              <w:jc w:val="both"/>
              <w:rPr>
                <w:sz w:val="28"/>
                <w:szCs w:val="28"/>
              </w:rPr>
            </w:pPr>
            <w:r w:rsidRPr="004D4262">
              <w:rPr>
                <w:sz w:val="28"/>
                <w:szCs w:val="28"/>
              </w:rPr>
              <w:t>111</w:t>
            </w:r>
          </w:p>
        </w:tc>
        <w:tc>
          <w:tcPr>
            <w:tcW w:w="45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Ziprasidone</w:t>
            </w:r>
          </w:p>
        </w:tc>
        <w:tc>
          <w:tcPr>
            <w:tcW w:w="34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4D4262" w:rsidRPr="004D4262" w:rsidRDefault="004D4262" w:rsidP="00192830">
            <w:pPr>
              <w:spacing w:before="120"/>
              <w:jc w:val="both"/>
              <w:rPr>
                <w:sz w:val="28"/>
                <w:szCs w:val="28"/>
              </w:rPr>
            </w:pPr>
            <w:r w:rsidRPr="004D4262">
              <w:rPr>
                <w:sz w:val="28"/>
                <w:szCs w:val="28"/>
              </w:rPr>
              <w:t>Uống: các dạng</w:t>
            </w:r>
          </w:p>
        </w:tc>
      </w:tr>
    </w:tbl>
    <w:p w:rsidR="004D4262" w:rsidRPr="004D4262" w:rsidRDefault="004D4262" w:rsidP="004D4262">
      <w:pPr>
        <w:spacing w:before="120" w:after="100" w:afterAutospacing="1"/>
        <w:jc w:val="both"/>
        <w:rPr>
          <w:sz w:val="28"/>
          <w:szCs w:val="28"/>
        </w:rPr>
      </w:pPr>
      <w:r w:rsidRPr="004D4262">
        <w:rPr>
          <w:i/>
          <w:iCs/>
          <w:sz w:val="28"/>
          <w:szCs w:val="28"/>
        </w:rPr>
        <w:t>* Danh mục này bao gồm cả các muối của các chất ghi trong Bảng này, khi các muối đ</w:t>
      </w:r>
      <w:r>
        <w:rPr>
          <w:i/>
          <w:iCs/>
          <w:sz w:val="28"/>
          <w:szCs w:val="28"/>
        </w:rPr>
        <w:t>ó có thể hình thành và tồn tại</w:t>
      </w:r>
      <w:bookmarkStart w:id="0" w:name="_GoBack"/>
      <w:bookmarkEnd w:id="0"/>
      <w:r w:rsidRPr="004D4262">
        <w:rPr>
          <w:i/>
          <w:iCs/>
          <w:sz w:val="28"/>
          <w:szCs w:val="28"/>
        </w:rPr>
        <w:t>.</w:t>
      </w:r>
    </w:p>
    <w:p w:rsidR="004D4262" w:rsidRPr="004D4262" w:rsidRDefault="004D4262" w:rsidP="004D4262">
      <w:pPr>
        <w:spacing w:after="100" w:afterAutospacing="1"/>
        <w:jc w:val="both"/>
        <w:rPr>
          <w:sz w:val="28"/>
          <w:szCs w:val="28"/>
        </w:rPr>
      </w:pPr>
      <w:r w:rsidRPr="004D4262">
        <w:rPr>
          <w:sz w:val="28"/>
          <w:szCs w:val="28"/>
        </w:rPr>
        <w:t> </w:t>
      </w:r>
    </w:p>
    <w:p w:rsidR="00D62FEC" w:rsidRPr="004D4262" w:rsidRDefault="00D62FEC">
      <w:pPr>
        <w:rPr>
          <w:sz w:val="28"/>
          <w:szCs w:val="28"/>
        </w:rPr>
      </w:pPr>
    </w:p>
    <w:sectPr w:rsidR="00D62FEC" w:rsidRPr="004D4262">
      <w:headerReference w:type="default" r:id="rId4"/>
      <w:pgSz w:w="12240" w:h="15840"/>
      <w:pgMar w:top="680" w:right="680" w:bottom="6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D426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62"/>
    <w:rsid w:val="004D4262"/>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4A58"/>
  <w15:chartTrackingRefBased/>
  <w15:docId w15:val="{61B333C2-DB8F-4128-A06A-A20B8D2E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6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2020-04-25T07:34:00Z</dcterms:created>
  <dcterms:modified xsi:type="dcterms:W3CDTF">2020-04-25T07:35:00Z</dcterms:modified>
</cp:coreProperties>
</file>