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Layout w:type="fixed"/>
        <w:tblCellMar>
          <w:left w:w="0" w:type="dxa"/>
          <w:right w:w="0" w:type="dxa"/>
        </w:tblCellMar>
        <w:tblLook w:val="0000" w:firstRow="0" w:lastRow="0" w:firstColumn="0" w:lastColumn="0" w:noHBand="0" w:noVBand="0"/>
      </w:tblPr>
      <w:tblGrid>
        <w:gridCol w:w="2916"/>
        <w:gridCol w:w="6534"/>
      </w:tblGrid>
      <w:tr w:rsidR="006226D3" w:rsidRPr="006226D3" w:rsidTr="006226D3">
        <w:tc>
          <w:tcPr>
            <w:tcW w:w="2916" w:type="dxa"/>
            <w:tcBorders>
              <w:tl2br w:val="nil"/>
              <w:tr2bl w:val="nil"/>
            </w:tcBorders>
            <w:tcMar>
              <w:top w:w="0" w:type="dxa"/>
              <w:left w:w="108" w:type="dxa"/>
              <w:bottom w:w="0" w:type="dxa"/>
              <w:right w:w="108" w:type="dxa"/>
            </w:tcMar>
          </w:tcPr>
          <w:p w:rsidR="006226D3" w:rsidRPr="006226D3" w:rsidRDefault="006226D3" w:rsidP="005A6589">
            <w:pPr>
              <w:spacing w:before="120" w:afterLines="50" w:after="120" w:line="312" w:lineRule="auto"/>
              <w:jc w:val="center"/>
              <w:rPr>
                <w:sz w:val="28"/>
                <w:szCs w:val="28"/>
              </w:rPr>
            </w:pPr>
            <w:r w:rsidRPr="006226D3">
              <w:rPr>
                <w:b/>
                <w:bCs/>
                <w:sz w:val="28"/>
                <w:szCs w:val="28"/>
              </w:rPr>
              <w:t>BỘ TÀI CHÍNH</w:t>
            </w:r>
            <w:r w:rsidRPr="006226D3">
              <w:rPr>
                <w:b/>
                <w:bCs/>
                <w:sz w:val="28"/>
                <w:szCs w:val="28"/>
                <w:lang w:val="vi-VN" w:eastAsia="vi-VN"/>
              </w:rPr>
              <w:br/>
              <w:t>-------</w:t>
            </w:r>
          </w:p>
        </w:tc>
        <w:tc>
          <w:tcPr>
            <w:tcW w:w="6534" w:type="dxa"/>
            <w:tcBorders>
              <w:tl2br w:val="nil"/>
              <w:tr2bl w:val="nil"/>
            </w:tcBorders>
            <w:tcMar>
              <w:top w:w="0" w:type="dxa"/>
              <w:left w:w="108" w:type="dxa"/>
              <w:bottom w:w="0" w:type="dxa"/>
              <w:right w:w="108" w:type="dxa"/>
            </w:tcMar>
          </w:tcPr>
          <w:p w:rsidR="006226D3" w:rsidRPr="006226D3" w:rsidRDefault="006226D3" w:rsidP="005A6589">
            <w:pPr>
              <w:spacing w:before="120" w:afterLines="50" w:after="120" w:line="312" w:lineRule="auto"/>
              <w:jc w:val="center"/>
              <w:rPr>
                <w:sz w:val="28"/>
                <w:szCs w:val="28"/>
              </w:rPr>
            </w:pPr>
            <w:r w:rsidRPr="006226D3">
              <w:rPr>
                <w:b/>
                <w:bCs/>
                <w:sz w:val="28"/>
                <w:szCs w:val="28"/>
                <w:lang w:val="vi-VN" w:eastAsia="vi-VN"/>
              </w:rPr>
              <w:t>CỘNG HÒA XÃ HỘI CHỦ NGHĨA VIỆT NAM</w:t>
            </w:r>
            <w:r w:rsidRPr="006226D3">
              <w:rPr>
                <w:b/>
                <w:bCs/>
                <w:sz w:val="28"/>
                <w:szCs w:val="28"/>
                <w:lang w:val="vi-VN" w:eastAsia="vi-VN"/>
              </w:rPr>
              <w:br/>
              <w:t xml:space="preserve">Độc lập - Tự do - Hạnh phúc </w:t>
            </w:r>
            <w:r w:rsidRPr="006226D3">
              <w:rPr>
                <w:b/>
                <w:bCs/>
                <w:sz w:val="28"/>
                <w:szCs w:val="28"/>
                <w:lang w:val="vi-VN" w:eastAsia="vi-VN"/>
              </w:rPr>
              <w:br/>
              <w:t>---------------</w:t>
            </w:r>
          </w:p>
        </w:tc>
      </w:tr>
      <w:tr w:rsidR="006226D3" w:rsidRPr="006226D3" w:rsidTr="006226D3">
        <w:tc>
          <w:tcPr>
            <w:tcW w:w="2916" w:type="dxa"/>
            <w:tcBorders>
              <w:tl2br w:val="nil"/>
              <w:tr2bl w:val="nil"/>
            </w:tcBorders>
            <w:tcMar>
              <w:top w:w="0" w:type="dxa"/>
              <w:left w:w="108" w:type="dxa"/>
              <w:bottom w:w="0" w:type="dxa"/>
              <w:right w:w="108" w:type="dxa"/>
            </w:tcMar>
          </w:tcPr>
          <w:p w:rsidR="006226D3" w:rsidRPr="006226D3" w:rsidRDefault="006226D3" w:rsidP="005A6589">
            <w:pPr>
              <w:spacing w:before="120" w:afterLines="50" w:after="120" w:line="312" w:lineRule="auto"/>
              <w:jc w:val="center"/>
              <w:rPr>
                <w:sz w:val="28"/>
                <w:szCs w:val="28"/>
              </w:rPr>
            </w:pPr>
            <w:r w:rsidRPr="006226D3">
              <w:rPr>
                <w:sz w:val="28"/>
                <w:szCs w:val="28"/>
                <w:lang w:val="vi-VN" w:eastAsia="vi-VN"/>
              </w:rPr>
              <w:t xml:space="preserve">Số: </w:t>
            </w:r>
            <w:r w:rsidRPr="006226D3">
              <w:rPr>
                <w:sz w:val="28"/>
                <w:szCs w:val="28"/>
              </w:rPr>
              <w:t>13/2016/TT-BTC</w:t>
            </w:r>
          </w:p>
        </w:tc>
        <w:tc>
          <w:tcPr>
            <w:tcW w:w="6534" w:type="dxa"/>
            <w:tcBorders>
              <w:tl2br w:val="nil"/>
              <w:tr2bl w:val="nil"/>
            </w:tcBorders>
            <w:tcMar>
              <w:top w:w="0" w:type="dxa"/>
              <w:left w:w="108" w:type="dxa"/>
              <w:bottom w:w="0" w:type="dxa"/>
              <w:right w:w="108" w:type="dxa"/>
            </w:tcMar>
          </w:tcPr>
          <w:p w:rsidR="006226D3" w:rsidRPr="006226D3" w:rsidRDefault="006226D3" w:rsidP="005A6589">
            <w:pPr>
              <w:spacing w:before="120" w:afterLines="50" w:after="120" w:line="312" w:lineRule="auto"/>
              <w:jc w:val="right"/>
              <w:rPr>
                <w:sz w:val="28"/>
                <w:szCs w:val="28"/>
              </w:rPr>
            </w:pPr>
            <w:r w:rsidRPr="006226D3">
              <w:rPr>
                <w:i/>
                <w:iCs/>
                <w:sz w:val="28"/>
                <w:szCs w:val="28"/>
              </w:rPr>
              <w:t>Hà Nội</w:t>
            </w:r>
            <w:r w:rsidRPr="006226D3">
              <w:rPr>
                <w:i/>
                <w:iCs/>
                <w:sz w:val="28"/>
                <w:szCs w:val="28"/>
                <w:lang w:val="vi-VN" w:eastAsia="vi-VN"/>
              </w:rPr>
              <w:t xml:space="preserve">, ngày </w:t>
            </w:r>
            <w:r w:rsidRPr="006226D3">
              <w:rPr>
                <w:i/>
                <w:iCs/>
                <w:sz w:val="28"/>
                <w:szCs w:val="28"/>
              </w:rPr>
              <w:t>20</w:t>
            </w:r>
            <w:r w:rsidRPr="006226D3">
              <w:rPr>
                <w:i/>
                <w:iCs/>
                <w:sz w:val="28"/>
                <w:szCs w:val="28"/>
                <w:lang w:val="vi-VN" w:eastAsia="vi-VN"/>
              </w:rPr>
              <w:t xml:space="preserve"> tháng </w:t>
            </w:r>
            <w:r w:rsidRPr="006226D3">
              <w:rPr>
                <w:i/>
                <w:iCs/>
                <w:sz w:val="28"/>
                <w:szCs w:val="28"/>
              </w:rPr>
              <w:t>01</w:t>
            </w:r>
            <w:r w:rsidRPr="006226D3">
              <w:rPr>
                <w:i/>
                <w:iCs/>
                <w:sz w:val="28"/>
                <w:szCs w:val="28"/>
                <w:lang w:val="vi-VN" w:eastAsia="vi-VN"/>
              </w:rPr>
              <w:t xml:space="preserve"> năm </w:t>
            </w:r>
            <w:r w:rsidRPr="006226D3">
              <w:rPr>
                <w:i/>
                <w:iCs/>
                <w:sz w:val="28"/>
                <w:szCs w:val="28"/>
              </w:rPr>
              <w:t>2016</w:t>
            </w:r>
          </w:p>
        </w:tc>
      </w:tr>
    </w:tbl>
    <w:p w:rsidR="006226D3" w:rsidRPr="006226D3" w:rsidRDefault="006226D3" w:rsidP="006226D3">
      <w:pPr>
        <w:spacing w:before="120" w:afterLines="50" w:after="120" w:line="312" w:lineRule="auto"/>
        <w:jc w:val="both"/>
        <w:rPr>
          <w:sz w:val="28"/>
          <w:szCs w:val="28"/>
        </w:rPr>
      </w:pPr>
      <w:r w:rsidRPr="006226D3">
        <w:rPr>
          <w:sz w:val="28"/>
          <w:szCs w:val="28"/>
        </w:rPr>
        <w:t> </w:t>
      </w:r>
    </w:p>
    <w:p w:rsidR="006226D3" w:rsidRPr="006226D3" w:rsidRDefault="006226D3" w:rsidP="006226D3">
      <w:pPr>
        <w:spacing w:before="120" w:afterLines="50" w:after="120" w:line="312" w:lineRule="auto"/>
        <w:jc w:val="center"/>
        <w:rPr>
          <w:sz w:val="28"/>
          <w:szCs w:val="28"/>
        </w:rPr>
      </w:pPr>
      <w:r w:rsidRPr="006226D3">
        <w:rPr>
          <w:b/>
          <w:bCs/>
          <w:sz w:val="28"/>
          <w:szCs w:val="28"/>
          <w:lang w:val="vi-VN" w:eastAsia="vi-VN"/>
        </w:rPr>
        <w:t>THÔNG TƯ</w:t>
      </w:r>
    </w:p>
    <w:p w:rsidR="006226D3" w:rsidRPr="006226D3" w:rsidRDefault="006226D3" w:rsidP="006226D3">
      <w:pPr>
        <w:spacing w:before="120" w:afterLines="50" w:after="120" w:line="312" w:lineRule="auto"/>
        <w:jc w:val="center"/>
        <w:rPr>
          <w:sz w:val="28"/>
          <w:szCs w:val="28"/>
        </w:rPr>
      </w:pPr>
      <w:r w:rsidRPr="006226D3">
        <w:rPr>
          <w:sz w:val="28"/>
          <w:szCs w:val="28"/>
          <w:lang w:val="vi-VN" w:eastAsia="vi-VN"/>
        </w:rPr>
        <w:t>SỬA ĐỔI, BỔ SUNG MỘT SỐ ĐIỀU CỦA THÔNG TƯ SỐ 114/2014/TT-BTC NGÀY 20 THÁNG 8 NĂM 2014 HƯỚNG DẪN CẤP BÙ LÃI SUẤT DO THỰC HIỆN CHÍNH SÁCH TÍN DỤNG THEO NGHỊ ĐỊNH SỐ 67/2014/NĐ-CP NGÀY 07 THÁNG 7 NĂM 2014 CỦA CHÍNH PHỦ VỀ MỘT SỐ CHÍNH SÁCH PHÁT TRIỂN THỦY SẢN VÀ THÔNG TƯ SỐ 117/2014/TT-BTC NGÀY 21 THÁNG 8 NĂM 2014 HƯỚNG DẪN THỰC HIỆN MỘT SỐ ĐIỀU NGHỊ ĐỊNH SỐ 67/2014/NĐ-CP NGÀY 07 THÁNG 7 NĂM 2014 CỦA CHÍNH PHỦ VỀ MỘT SỐ CHÍNH SÁCH PHÁT TRIỂN THỦY SẢN</w:t>
      </w:r>
    </w:p>
    <w:p w:rsidR="006226D3" w:rsidRPr="006226D3" w:rsidRDefault="006226D3" w:rsidP="006226D3">
      <w:pPr>
        <w:spacing w:before="120" w:afterLines="50" w:after="120" w:line="312" w:lineRule="auto"/>
        <w:jc w:val="both"/>
        <w:rPr>
          <w:sz w:val="28"/>
          <w:szCs w:val="28"/>
        </w:rPr>
      </w:pPr>
      <w:r w:rsidRPr="006226D3">
        <w:rPr>
          <w:i/>
          <w:iCs/>
          <w:sz w:val="28"/>
          <w:szCs w:val="28"/>
          <w:lang w:val="vi-VN" w:eastAsia="vi-VN"/>
        </w:rPr>
        <w:t xml:space="preserve">Căn cứ Nghị định số 60/2003/NĐ-CP ngày 06 tháng 6 năm 2003 của </w:t>
      </w:r>
      <w:r w:rsidRPr="006226D3">
        <w:rPr>
          <w:i/>
          <w:iCs/>
          <w:sz w:val="28"/>
          <w:szCs w:val="28"/>
        </w:rPr>
        <w:t>Chính phủ</w:t>
      </w:r>
      <w:r w:rsidRPr="006226D3">
        <w:rPr>
          <w:i/>
          <w:iCs/>
          <w:sz w:val="28"/>
          <w:szCs w:val="28"/>
          <w:lang w:val="vi-VN" w:eastAsia="vi-VN"/>
        </w:rPr>
        <w:t xml:space="preserve"> quy định chi tiết và hướng dẫn thi hành Luật Ngân sách </w:t>
      </w:r>
      <w:r w:rsidRPr="006226D3">
        <w:rPr>
          <w:i/>
          <w:iCs/>
          <w:sz w:val="28"/>
          <w:szCs w:val="28"/>
        </w:rPr>
        <w:t>nhà nước</w:t>
      </w:r>
      <w:r w:rsidRPr="006226D3">
        <w:rPr>
          <w:i/>
          <w:iCs/>
          <w:sz w:val="28"/>
          <w:szCs w:val="28"/>
          <w:lang w:val="vi-VN" w:eastAsia="vi-VN"/>
        </w:rPr>
        <w:t>;</w:t>
      </w:r>
    </w:p>
    <w:p w:rsidR="006226D3" w:rsidRPr="006226D3" w:rsidRDefault="006226D3" w:rsidP="006226D3">
      <w:pPr>
        <w:spacing w:before="120" w:afterLines="50" w:after="120" w:line="312" w:lineRule="auto"/>
        <w:jc w:val="both"/>
        <w:rPr>
          <w:sz w:val="28"/>
          <w:szCs w:val="28"/>
        </w:rPr>
      </w:pPr>
      <w:r w:rsidRPr="006226D3">
        <w:rPr>
          <w:i/>
          <w:iCs/>
          <w:sz w:val="28"/>
          <w:szCs w:val="28"/>
          <w:lang w:val="vi-VN" w:eastAsia="vi-VN"/>
        </w:rPr>
        <w:t>Căn cứ Nghị định số 67/20</w:t>
      </w:r>
      <w:r w:rsidRPr="006226D3">
        <w:rPr>
          <w:i/>
          <w:iCs/>
          <w:sz w:val="28"/>
          <w:szCs w:val="28"/>
        </w:rPr>
        <w:t>1</w:t>
      </w:r>
      <w:r w:rsidRPr="006226D3">
        <w:rPr>
          <w:i/>
          <w:iCs/>
          <w:sz w:val="28"/>
          <w:szCs w:val="28"/>
          <w:lang w:val="vi-VN" w:eastAsia="vi-VN"/>
        </w:rPr>
        <w:t xml:space="preserve">4/NĐ-CP ngày 07 tháng 7 năm 2014 của </w:t>
      </w:r>
      <w:r w:rsidRPr="006226D3">
        <w:rPr>
          <w:i/>
          <w:iCs/>
          <w:sz w:val="28"/>
          <w:szCs w:val="28"/>
          <w:shd w:val="solid" w:color="FFFFFF" w:fill="auto"/>
          <w:lang w:val="vi-VN" w:eastAsia="vi-VN"/>
        </w:rPr>
        <w:t>Chính phủ</w:t>
      </w:r>
      <w:r w:rsidRPr="006226D3">
        <w:rPr>
          <w:i/>
          <w:iCs/>
          <w:sz w:val="28"/>
          <w:szCs w:val="28"/>
          <w:lang w:val="vi-VN" w:eastAsia="vi-VN"/>
        </w:rPr>
        <w:t xml:space="preserve"> </w:t>
      </w:r>
      <w:r w:rsidRPr="006226D3">
        <w:rPr>
          <w:i/>
          <w:iCs/>
          <w:sz w:val="28"/>
          <w:szCs w:val="28"/>
          <w:shd w:val="solid" w:color="FFFFFF" w:fill="auto"/>
          <w:lang w:val="vi-VN" w:eastAsia="vi-VN"/>
        </w:rPr>
        <w:t>về</w:t>
      </w:r>
      <w:r w:rsidRPr="006226D3">
        <w:rPr>
          <w:i/>
          <w:iCs/>
          <w:sz w:val="28"/>
          <w:szCs w:val="28"/>
          <w:lang w:val="vi-VN" w:eastAsia="vi-VN"/>
        </w:rPr>
        <w:t xml:space="preserve"> một số chính sách phát triển thủy sản;</w:t>
      </w:r>
    </w:p>
    <w:p w:rsidR="006226D3" w:rsidRPr="006226D3" w:rsidRDefault="006226D3" w:rsidP="006226D3">
      <w:pPr>
        <w:spacing w:before="120" w:afterLines="50" w:after="120" w:line="312" w:lineRule="auto"/>
        <w:jc w:val="both"/>
        <w:rPr>
          <w:sz w:val="28"/>
          <w:szCs w:val="28"/>
        </w:rPr>
      </w:pPr>
      <w:r w:rsidRPr="006226D3">
        <w:rPr>
          <w:i/>
          <w:iCs/>
          <w:sz w:val="28"/>
          <w:szCs w:val="28"/>
          <w:lang w:val="vi-VN" w:eastAsia="vi-VN"/>
        </w:rPr>
        <w:t xml:space="preserve">Căn cứ Nghị định số 89/2015/NĐ-CP ngày 07 </w:t>
      </w:r>
      <w:r w:rsidRPr="006226D3">
        <w:rPr>
          <w:i/>
          <w:iCs/>
          <w:sz w:val="28"/>
          <w:szCs w:val="28"/>
          <w:shd w:val="solid" w:color="FFFFFF" w:fill="auto"/>
          <w:lang w:val="vi-VN" w:eastAsia="vi-VN"/>
        </w:rPr>
        <w:t>tháng</w:t>
      </w:r>
      <w:r w:rsidRPr="006226D3">
        <w:rPr>
          <w:i/>
          <w:iCs/>
          <w:sz w:val="28"/>
          <w:szCs w:val="28"/>
          <w:lang w:val="vi-VN" w:eastAsia="vi-VN"/>
        </w:rPr>
        <w:t xml:space="preserve"> 10 năm 2015 của Chính ph</w:t>
      </w:r>
      <w:r w:rsidRPr="006226D3">
        <w:rPr>
          <w:i/>
          <w:iCs/>
          <w:sz w:val="28"/>
          <w:szCs w:val="28"/>
        </w:rPr>
        <w:t xml:space="preserve">ủ </w:t>
      </w:r>
      <w:r w:rsidRPr="006226D3">
        <w:rPr>
          <w:i/>
          <w:iCs/>
          <w:sz w:val="28"/>
          <w:szCs w:val="28"/>
          <w:lang w:val="vi-VN" w:eastAsia="vi-VN"/>
        </w:rPr>
        <w:t xml:space="preserve">sửa đổi, bổ sung một số điều của Nghị định số 67/2014/NĐ-CP ngày 07 </w:t>
      </w:r>
      <w:r w:rsidRPr="006226D3">
        <w:rPr>
          <w:i/>
          <w:iCs/>
          <w:sz w:val="28"/>
          <w:szCs w:val="28"/>
          <w:shd w:val="solid" w:color="FFFFFF" w:fill="auto"/>
          <w:lang w:val="vi-VN" w:eastAsia="vi-VN"/>
        </w:rPr>
        <w:t>tháng</w:t>
      </w:r>
      <w:r w:rsidRPr="006226D3">
        <w:rPr>
          <w:i/>
          <w:iCs/>
          <w:sz w:val="28"/>
          <w:szCs w:val="28"/>
          <w:lang w:val="vi-VN" w:eastAsia="vi-VN"/>
        </w:rPr>
        <w:t xml:space="preserve"> 07 năm 2014 của </w:t>
      </w:r>
      <w:r w:rsidRPr="006226D3">
        <w:rPr>
          <w:i/>
          <w:iCs/>
          <w:sz w:val="28"/>
          <w:szCs w:val="28"/>
          <w:shd w:val="solid" w:color="FFFFFF" w:fill="auto"/>
          <w:lang w:val="vi-VN" w:eastAsia="vi-VN"/>
        </w:rPr>
        <w:t>Chính phủ</w:t>
      </w:r>
      <w:r w:rsidRPr="006226D3">
        <w:rPr>
          <w:i/>
          <w:iCs/>
          <w:sz w:val="28"/>
          <w:szCs w:val="28"/>
          <w:lang w:val="vi-VN" w:eastAsia="vi-VN"/>
        </w:rPr>
        <w:t xml:space="preserve"> về mội </w:t>
      </w:r>
      <w:r w:rsidRPr="006226D3">
        <w:rPr>
          <w:i/>
          <w:iCs/>
          <w:sz w:val="28"/>
          <w:szCs w:val="28"/>
        </w:rPr>
        <w:t>số chính sách phát triển thủy sản;</w:t>
      </w:r>
    </w:p>
    <w:p w:rsidR="006226D3" w:rsidRPr="006226D3" w:rsidRDefault="006226D3" w:rsidP="006226D3">
      <w:pPr>
        <w:spacing w:before="120" w:afterLines="50" w:after="120" w:line="312" w:lineRule="auto"/>
        <w:jc w:val="both"/>
        <w:rPr>
          <w:sz w:val="28"/>
          <w:szCs w:val="28"/>
        </w:rPr>
      </w:pPr>
      <w:r w:rsidRPr="006226D3">
        <w:rPr>
          <w:i/>
          <w:iCs/>
          <w:sz w:val="28"/>
          <w:szCs w:val="28"/>
          <w:lang w:val="vi-VN" w:eastAsia="vi-VN"/>
        </w:rPr>
        <w:t xml:space="preserve">Căn cứ </w:t>
      </w:r>
      <w:r w:rsidRPr="006226D3">
        <w:rPr>
          <w:i/>
          <w:iCs/>
          <w:sz w:val="28"/>
          <w:szCs w:val="28"/>
          <w:shd w:val="solid" w:color="FFFFFF" w:fill="auto"/>
          <w:lang w:val="vi-VN" w:eastAsia="vi-VN"/>
        </w:rPr>
        <w:t>Nghị định số</w:t>
      </w:r>
      <w:r w:rsidRPr="006226D3">
        <w:rPr>
          <w:i/>
          <w:iCs/>
          <w:sz w:val="28"/>
          <w:szCs w:val="28"/>
          <w:lang w:val="vi-VN" w:eastAsia="vi-VN"/>
        </w:rPr>
        <w:t xml:space="preserve"> 215/2013/NĐ-CP ngày 23 tháng 12 năm 2013 </w:t>
      </w:r>
      <w:r w:rsidRPr="006226D3">
        <w:rPr>
          <w:i/>
          <w:iCs/>
          <w:sz w:val="28"/>
          <w:szCs w:val="28"/>
          <w:shd w:val="solid" w:color="FFFFFF" w:fill="auto"/>
          <w:lang w:val="vi-VN" w:eastAsia="vi-VN"/>
        </w:rPr>
        <w:t>của</w:t>
      </w:r>
      <w:r w:rsidRPr="006226D3">
        <w:rPr>
          <w:i/>
          <w:iCs/>
          <w:sz w:val="28"/>
          <w:szCs w:val="28"/>
          <w:lang w:val="vi-VN" w:eastAsia="vi-VN"/>
        </w:rPr>
        <w:t xml:space="preserve"> </w:t>
      </w:r>
      <w:r w:rsidRPr="006226D3">
        <w:rPr>
          <w:i/>
          <w:iCs/>
          <w:sz w:val="28"/>
          <w:szCs w:val="28"/>
          <w:shd w:val="solid" w:color="FFFFFF" w:fill="auto"/>
          <w:lang w:val="vi-VN" w:eastAsia="vi-VN"/>
        </w:rPr>
        <w:t>Chính phủ</w:t>
      </w:r>
      <w:r w:rsidRPr="006226D3">
        <w:rPr>
          <w:i/>
          <w:iCs/>
          <w:sz w:val="28"/>
          <w:szCs w:val="28"/>
          <w:lang w:val="vi-VN" w:eastAsia="vi-VN"/>
        </w:rPr>
        <w:t xml:space="preserve"> quy định chức năng, nhiệm vụ, quy</w:t>
      </w:r>
      <w:r w:rsidRPr="006226D3">
        <w:rPr>
          <w:i/>
          <w:iCs/>
          <w:sz w:val="28"/>
          <w:szCs w:val="28"/>
        </w:rPr>
        <w:t>ề</w:t>
      </w:r>
      <w:r w:rsidRPr="006226D3">
        <w:rPr>
          <w:i/>
          <w:iCs/>
          <w:sz w:val="28"/>
          <w:szCs w:val="28"/>
          <w:lang w:val="vi-VN" w:eastAsia="vi-VN"/>
        </w:rPr>
        <w:t xml:space="preserve">n hạn và </w:t>
      </w:r>
      <w:r w:rsidRPr="006226D3">
        <w:rPr>
          <w:i/>
          <w:iCs/>
          <w:sz w:val="28"/>
          <w:szCs w:val="28"/>
          <w:shd w:val="solid" w:color="FFFFFF" w:fill="auto"/>
          <w:lang w:val="vi-VN" w:eastAsia="vi-VN"/>
        </w:rPr>
        <w:t>cơ cấu</w:t>
      </w:r>
      <w:r w:rsidRPr="006226D3">
        <w:rPr>
          <w:i/>
          <w:iCs/>
          <w:sz w:val="28"/>
          <w:szCs w:val="28"/>
          <w:lang w:val="vi-VN" w:eastAsia="vi-VN"/>
        </w:rPr>
        <w:t xml:space="preserve"> </w:t>
      </w:r>
      <w:r w:rsidRPr="006226D3">
        <w:rPr>
          <w:i/>
          <w:iCs/>
          <w:sz w:val="28"/>
          <w:szCs w:val="28"/>
          <w:shd w:val="solid" w:color="FFFFFF" w:fill="auto"/>
          <w:lang w:val="vi-VN" w:eastAsia="vi-VN"/>
        </w:rPr>
        <w:t>tổ chức</w:t>
      </w:r>
      <w:r w:rsidRPr="006226D3">
        <w:rPr>
          <w:i/>
          <w:iCs/>
          <w:sz w:val="28"/>
          <w:szCs w:val="28"/>
          <w:lang w:val="vi-VN" w:eastAsia="vi-VN"/>
        </w:rPr>
        <w:t xml:space="preserve"> của Bộ Tài </w:t>
      </w:r>
      <w:r w:rsidRPr="006226D3">
        <w:rPr>
          <w:i/>
          <w:iCs/>
          <w:sz w:val="28"/>
          <w:szCs w:val="28"/>
        </w:rPr>
        <w:t>chính</w:t>
      </w:r>
      <w:r w:rsidRPr="006226D3">
        <w:rPr>
          <w:i/>
          <w:iCs/>
          <w:sz w:val="28"/>
          <w:szCs w:val="28"/>
          <w:lang w:val="vi-VN" w:eastAsia="vi-VN"/>
        </w:rPr>
        <w:t>;</w:t>
      </w:r>
    </w:p>
    <w:p w:rsidR="006226D3" w:rsidRPr="006226D3" w:rsidRDefault="006226D3" w:rsidP="006226D3">
      <w:pPr>
        <w:spacing w:before="120" w:afterLines="50" w:after="120" w:line="312" w:lineRule="auto"/>
        <w:jc w:val="both"/>
        <w:rPr>
          <w:sz w:val="28"/>
          <w:szCs w:val="28"/>
        </w:rPr>
      </w:pPr>
      <w:r w:rsidRPr="006226D3">
        <w:rPr>
          <w:i/>
          <w:iCs/>
          <w:sz w:val="28"/>
          <w:szCs w:val="28"/>
          <w:lang w:val="vi-VN" w:eastAsia="vi-VN"/>
        </w:rPr>
        <w:t xml:space="preserve">Theo đề nghị của Vụ </w:t>
      </w:r>
      <w:r w:rsidRPr="006226D3">
        <w:rPr>
          <w:i/>
          <w:iCs/>
          <w:sz w:val="28"/>
          <w:szCs w:val="28"/>
        </w:rPr>
        <w:t xml:space="preserve">trưởng </w:t>
      </w:r>
      <w:r w:rsidRPr="006226D3">
        <w:rPr>
          <w:i/>
          <w:iCs/>
          <w:sz w:val="28"/>
          <w:szCs w:val="28"/>
          <w:lang w:val="vi-VN" w:eastAsia="vi-VN"/>
        </w:rPr>
        <w:t xml:space="preserve">Vụ </w:t>
      </w:r>
      <w:r w:rsidRPr="006226D3">
        <w:rPr>
          <w:i/>
          <w:iCs/>
          <w:sz w:val="28"/>
          <w:szCs w:val="28"/>
          <w:shd w:val="solid" w:color="FFFFFF" w:fill="auto"/>
          <w:lang w:val="vi-VN" w:eastAsia="vi-VN"/>
        </w:rPr>
        <w:t>Tài chính</w:t>
      </w:r>
      <w:r w:rsidRPr="006226D3">
        <w:rPr>
          <w:i/>
          <w:iCs/>
          <w:sz w:val="28"/>
          <w:szCs w:val="28"/>
          <w:lang w:val="vi-VN" w:eastAsia="vi-VN"/>
        </w:rPr>
        <w:t xml:space="preserve"> các ngân hàng và </w:t>
      </w:r>
      <w:r w:rsidRPr="006226D3">
        <w:rPr>
          <w:i/>
          <w:iCs/>
          <w:sz w:val="28"/>
          <w:szCs w:val="28"/>
          <w:shd w:val="solid" w:color="FFFFFF" w:fill="auto"/>
          <w:lang w:val="vi-VN" w:eastAsia="vi-VN"/>
        </w:rPr>
        <w:t>tổ chức</w:t>
      </w:r>
      <w:r w:rsidRPr="006226D3">
        <w:rPr>
          <w:i/>
          <w:iCs/>
          <w:sz w:val="28"/>
          <w:szCs w:val="28"/>
          <w:lang w:val="vi-VN" w:eastAsia="vi-VN"/>
        </w:rPr>
        <w:t xml:space="preserve"> </w:t>
      </w:r>
      <w:r w:rsidRPr="006226D3">
        <w:rPr>
          <w:i/>
          <w:iCs/>
          <w:sz w:val="28"/>
          <w:szCs w:val="28"/>
          <w:shd w:val="solid" w:color="FFFFFF" w:fill="auto"/>
          <w:lang w:val="vi-VN" w:eastAsia="vi-VN"/>
        </w:rPr>
        <w:t>tài chính</w:t>
      </w:r>
      <w:r w:rsidRPr="006226D3">
        <w:rPr>
          <w:i/>
          <w:iCs/>
          <w:sz w:val="28"/>
          <w:szCs w:val="28"/>
          <w:lang w:val="vi-VN" w:eastAsia="vi-VN"/>
        </w:rPr>
        <w:t>;</w:t>
      </w:r>
    </w:p>
    <w:p w:rsidR="006226D3" w:rsidRPr="006226D3" w:rsidRDefault="006226D3" w:rsidP="006226D3">
      <w:pPr>
        <w:spacing w:before="120" w:afterLines="50" w:after="120" w:line="312" w:lineRule="auto"/>
        <w:jc w:val="both"/>
        <w:rPr>
          <w:sz w:val="28"/>
          <w:szCs w:val="28"/>
        </w:rPr>
      </w:pPr>
      <w:r w:rsidRPr="006226D3">
        <w:rPr>
          <w:i/>
          <w:iCs/>
          <w:sz w:val="28"/>
          <w:szCs w:val="28"/>
          <w:lang w:val="vi-VN" w:eastAsia="vi-VN"/>
        </w:rPr>
        <w:t>Bộ tr</w:t>
      </w:r>
      <w:r w:rsidRPr="006226D3">
        <w:rPr>
          <w:i/>
          <w:iCs/>
          <w:sz w:val="28"/>
          <w:szCs w:val="28"/>
        </w:rPr>
        <w:t>ưở</w:t>
      </w:r>
      <w:r w:rsidRPr="006226D3">
        <w:rPr>
          <w:i/>
          <w:iCs/>
          <w:sz w:val="28"/>
          <w:szCs w:val="28"/>
          <w:lang w:val="vi-VN" w:eastAsia="vi-VN"/>
        </w:rPr>
        <w:t>ng Bộ Tài chính ban hành Thông tư sửa đổi, bổ sung một s</w:t>
      </w:r>
      <w:r w:rsidRPr="006226D3">
        <w:rPr>
          <w:i/>
          <w:iCs/>
          <w:sz w:val="28"/>
          <w:szCs w:val="28"/>
        </w:rPr>
        <w:t xml:space="preserve">ố </w:t>
      </w:r>
      <w:r w:rsidRPr="006226D3">
        <w:rPr>
          <w:i/>
          <w:iCs/>
          <w:sz w:val="28"/>
          <w:szCs w:val="28"/>
          <w:lang w:val="vi-VN" w:eastAsia="vi-VN"/>
        </w:rPr>
        <w:t xml:space="preserve">điều </w:t>
      </w:r>
      <w:r w:rsidRPr="006226D3">
        <w:rPr>
          <w:i/>
          <w:iCs/>
          <w:sz w:val="28"/>
          <w:szCs w:val="28"/>
          <w:shd w:val="solid" w:color="FFFFFF" w:fill="auto"/>
          <w:lang w:val="vi-VN" w:eastAsia="vi-VN"/>
        </w:rPr>
        <w:t>của</w:t>
      </w:r>
      <w:r w:rsidRPr="006226D3">
        <w:rPr>
          <w:i/>
          <w:iCs/>
          <w:sz w:val="28"/>
          <w:szCs w:val="28"/>
          <w:lang w:val="vi-VN" w:eastAsia="vi-VN"/>
        </w:rPr>
        <w:t xml:space="preserve"> Thông tư số 114/2014/TT-BTC ngày 20 </w:t>
      </w:r>
      <w:r w:rsidRPr="006226D3">
        <w:rPr>
          <w:i/>
          <w:iCs/>
          <w:sz w:val="28"/>
          <w:szCs w:val="28"/>
          <w:shd w:val="solid" w:color="FFFFFF" w:fill="auto"/>
          <w:lang w:val="vi-VN" w:eastAsia="vi-VN"/>
        </w:rPr>
        <w:t>tháng</w:t>
      </w:r>
      <w:r w:rsidRPr="006226D3">
        <w:rPr>
          <w:i/>
          <w:iCs/>
          <w:sz w:val="28"/>
          <w:szCs w:val="28"/>
          <w:lang w:val="vi-VN" w:eastAsia="vi-VN"/>
        </w:rPr>
        <w:t xml:space="preserve"> 8 năm 2014 </w:t>
      </w:r>
      <w:r w:rsidRPr="006226D3">
        <w:rPr>
          <w:i/>
          <w:iCs/>
          <w:sz w:val="28"/>
          <w:szCs w:val="28"/>
          <w:shd w:val="solid" w:color="FFFFFF" w:fill="auto"/>
          <w:lang w:val="vi-VN" w:eastAsia="vi-VN"/>
        </w:rPr>
        <w:t>hướng dẫn</w:t>
      </w:r>
      <w:r w:rsidRPr="006226D3">
        <w:rPr>
          <w:i/>
          <w:iCs/>
          <w:sz w:val="28"/>
          <w:szCs w:val="28"/>
          <w:lang w:val="vi-VN" w:eastAsia="vi-VN"/>
        </w:rPr>
        <w:t xml:space="preserve"> cấp bù lãi suất do thực hiện chính sách tín dụng theo Nghị định số 67/2014/NĐ-CP ngày 07 tháng 7 </w:t>
      </w:r>
      <w:r w:rsidRPr="006226D3">
        <w:rPr>
          <w:i/>
          <w:iCs/>
          <w:sz w:val="28"/>
          <w:szCs w:val="28"/>
          <w:lang w:val="vi-VN" w:eastAsia="vi-VN"/>
        </w:rPr>
        <w:lastRenderedPageBreak/>
        <w:t xml:space="preserve">năm 2014 </w:t>
      </w:r>
      <w:r w:rsidRPr="006226D3">
        <w:rPr>
          <w:i/>
          <w:iCs/>
          <w:sz w:val="28"/>
          <w:szCs w:val="28"/>
          <w:shd w:val="solid" w:color="FFFFFF" w:fill="auto"/>
          <w:lang w:val="vi-VN" w:eastAsia="vi-VN"/>
        </w:rPr>
        <w:t>của</w:t>
      </w:r>
      <w:r w:rsidRPr="006226D3">
        <w:rPr>
          <w:i/>
          <w:iCs/>
          <w:sz w:val="28"/>
          <w:szCs w:val="28"/>
          <w:lang w:val="vi-VN" w:eastAsia="vi-VN"/>
        </w:rPr>
        <w:t xml:space="preserve"> </w:t>
      </w:r>
      <w:r w:rsidRPr="006226D3">
        <w:rPr>
          <w:i/>
          <w:iCs/>
          <w:sz w:val="28"/>
          <w:szCs w:val="28"/>
          <w:shd w:val="solid" w:color="FFFFFF" w:fill="auto"/>
          <w:lang w:val="vi-VN" w:eastAsia="vi-VN"/>
        </w:rPr>
        <w:t>Chính phủ</w:t>
      </w:r>
      <w:r w:rsidRPr="006226D3">
        <w:rPr>
          <w:i/>
          <w:iCs/>
          <w:sz w:val="28"/>
          <w:szCs w:val="28"/>
          <w:lang w:val="vi-VN" w:eastAsia="vi-VN"/>
        </w:rPr>
        <w:t xml:space="preserve"> </w:t>
      </w:r>
      <w:r w:rsidRPr="006226D3">
        <w:rPr>
          <w:i/>
          <w:iCs/>
          <w:sz w:val="28"/>
          <w:szCs w:val="28"/>
          <w:shd w:val="solid" w:color="FFFFFF" w:fill="auto"/>
          <w:lang w:val="vi-VN" w:eastAsia="vi-VN"/>
        </w:rPr>
        <w:t>về</w:t>
      </w:r>
      <w:r w:rsidRPr="006226D3">
        <w:rPr>
          <w:i/>
          <w:iCs/>
          <w:sz w:val="28"/>
          <w:szCs w:val="28"/>
          <w:lang w:val="vi-VN" w:eastAsia="vi-VN"/>
        </w:rPr>
        <w:t xml:space="preserve"> một số chính sách </w:t>
      </w:r>
      <w:r w:rsidRPr="006226D3">
        <w:rPr>
          <w:i/>
          <w:iCs/>
          <w:sz w:val="28"/>
          <w:szCs w:val="28"/>
          <w:shd w:val="solid" w:color="FFFFFF" w:fill="auto"/>
          <w:lang w:val="vi-VN" w:eastAsia="vi-VN"/>
        </w:rPr>
        <w:t>phát triển</w:t>
      </w:r>
      <w:r w:rsidRPr="006226D3">
        <w:rPr>
          <w:i/>
          <w:iCs/>
          <w:sz w:val="28"/>
          <w:szCs w:val="28"/>
          <w:lang w:val="vi-VN" w:eastAsia="vi-VN"/>
        </w:rPr>
        <w:t xml:space="preserve"> thủy sản và Thông tư số 117/2014/TT-BTC ngày 21 tháng 8 năm 2014 </w:t>
      </w:r>
      <w:r w:rsidRPr="006226D3">
        <w:rPr>
          <w:i/>
          <w:iCs/>
          <w:sz w:val="28"/>
          <w:szCs w:val="28"/>
        </w:rPr>
        <w:t xml:space="preserve">hướng dẫn </w:t>
      </w:r>
      <w:r w:rsidRPr="006226D3">
        <w:rPr>
          <w:i/>
          <w:iCs/>
          <w:sz w:val="28"/>
          <w:szCs w:val="28"/>
          <w:lang w:val="vi-VN" w:eastAsia="vi-VN"/>
        </w:rPr>
        <w:t xml:space="preserve">thực hiện một số </w:t>
      </w:r>
      <w:r w:rsidRPr="006226D3">
        <w:rPr>
          <w:i/>
          <w:iCs/>
          <w:sz w:val="28"/>
          <w:szCs w:val="28"/>
          <w:shd w:val="solid" w:color="FFFFFF" w:fill="auto"/>
          <w:lang w:val="vi-VN" w:eastAsia="vi-VN"/>
        </w:rPr>
        <w:t>điều</w:t>
      </w:r>
      <w:r w:rsidRPr="006226D3">
        <w:rPr>
          <w:i/>
          <w:iCs/>
          <w:sz w:val="28"/>
          <w:szCs w:val="28"/>
          <w:lang w:val="vi-VN" w:eastAsia="vi-VN"/>
        </w:rPr>
        <w:t xml:space="preserve"> </w:t>
      </w:r>
      <w:r w:rsidRPr="006226D3">
        <w:rPr>
          <w:i/>
          <w:iCs/>
          <w:sz w:val="28"/>
          <w:szCs w:val="28"/>
          <w:shd w:val="solid" w:color="FFFFFF" w:fill="auto"/>
          <w:lang w:val="vi-VN" w:eastAsia="vi-VN"/>
        </w:rPr>
        <w:t>Nghị định số</w:t>
      </w:r>
      <w:r w:rsidRPr="006226D3">
        <w:rPr>
          <w:i/>
          <w:iCs/>
          <w:sz w:val="28"/>
          <w:szCs w:val="28"/>
          <w:lang w:val="vi-VN" w:eastAsia="vi-VN"/>
        </w:rPr>
        <w:t xml:space="preserve"> 67/2014/NĐ-CP ngày 07 tháng 7 năm 2014 của Chính phủ về một số chính sách </w:t>
      </w:r>
      <w:r w:rsidRPr="006226D3">
        <w:rPr>
          <w:i/>
          <w:iCs/>
          <w:sz w:val="28"/>
          <w:szCs w:val="28"/>
        </w:rPr>
        <w:t>phát triển thủy sản</w:t>
      </w:r>
      <w:r w:rsidRPr="006226D3">
        <w:rPr>
          <w:i/>
          <w:iCs/>
          <w:sz w:val="28"/>
          <w:szCs w:val="28"/>
          <w:lang w:val="vi-VN" w:eastAsia="vi-VN"/>
        </w:rPr>
        <w:t>.</w:t>
      </w:r>
    </w:p>
    <w:p w:rsidR="006226D3" w:rsidRPr="006226D3" w:rsidRDefault="006226D3" w:rsidP="006226D3">
      <w:pPr>
        <w:spacing w:before="120" w:afterLines="50" w:after="120" w:line="312" w:lineRule="auto"/>
        <w:jc w:val="both"/>
        <w:rPr>
          <w:sz w:val="28"/>
          <w:szCs w:val="28"/>
        </w:rPr>
      </w:pPr>
      <w:r w:rsidRPr="006226D3">
        <w:rPr>
          <w:b/>
          <w:bCs/>
          <w:sz w:val="28"/>
          <w:szCs w:val="28"/>
          <w:lang w:val="vi-VN" w:eastAsia="vi-VN"/>
        </w:rPr>
        <w:t xml:space="preserve">Điều 1. Sửa đổi, bổ sung một số điều </w:t>
      </w:r>
      <w:r w:rsidRPr="006226D3">
        <w:rPr>
          <w:b/>
          <w:bCs/>
          <w:sz w:val="28"/>
          <w:szCs w:val="28"/>
          <w:shd w:val="solid" w:color="FFFFFF" w:fill="auto"/>
          <w:lang w:val="vi-VN" w:eastAsia="vi-VN"/>
        </w:rPr>
        <w:t>của</w:t>
      </w:r>
      <w:r w:rsidRPr="006226D3">
        <w:rPr>
          <w:b/>
          <w:bCs/>
          <w:sz w:val="28"/>
          <w:szCs w:val="28"/>
          <w:lang w:val="vi-VN" w:eastAsia="vi-VN"/>
        </w:rPr>
        <w:t xml:space="preserve"> Thông tư số 114/2014/TT-BTC ngày 20 tháng 8 năm 2014 </w:t>
      </w:r>
      <w:r w:rsidRPr="006226D3">
        <w:rPr>
          <w:b/>
          <w:bCs/>
          <w:sz w:val="28"/>
          <w:szCs w:val="28"/>
        </w:rPr>
        <w:t xml:space="preserve">hướng dẫn </w:t>
      </w:r>
      <w:r w:rsidRPr="006226D3">
        <w:rPr>
          <w:b/>
          <w:bCs/>
          <w:sz w:val="28"/>
          <w:szCs w:val="28"/>
          <w:lang w:val="vi-VN" w:eastAsia="vi-VN"/>
        </w:rPr>
        <w:t xml:space="preserve">cấp bù lãi suất do thực hiện chính sách tín dụng theo Nghị định số 67/2014/NĐ-CP ngày 07 tháng 7 năm 2014 của Chính phủ về một số chính sách phát </w:t>
      </w:r>
      <w:r w:rsidRPr="006226D3">
        <w:rPr>
          <w:b/>
          <w:bCs/>
          <w:sz w:val="28"/>
          <w:szCs w:val="28"/>
        </w:rPr>
        <w:t xml:space="preserve">triển </w:t>
      </w:r>
      <w:r w:rsidRPr="006226D3">
        <w:rPr>
          <w:b/>
          <w:bCs/>
          <w:sz w:val="28"/>
          <w:szCs w:val="28"/>
          <w:lang w:val="vi-VN" w:eastAsia="vi-VN"/>
        </w:rPr>
        <w:t>thủy sản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1. Sửa đổi Điều 1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“Thông tư này hướng dẫn về hồ sơ, trình tự, thủ tục cấp bù lãi suất do thực hiện chính sách tín dụng đóng mới, nâng cấp tàu theo quy định tại điểm b, </w:t>
      </w:r>
      <w:r w:rsidRPr="006226D3">
        <w:rPr>
          <w:sz w:val="28"/>
          <w:szCs w:val="28"/>
          <w:shd w:val="solid" w:color="FFFFFF" w:fill="auto"/>
          <w:lang w:val="vi-VN" w:eastAsia="vi-VN"/>
        </w:rPr>
        <w:t>điểm</w:t>
      </w:r>
      <w:r w:rsidRPr="006226D3">
        <w:rPr>
          <w:sz w:val="28"/>
          <w:szCs w:val="28"/>
          <w:lang w:val="vi-VN" w:eastAsia="vi-VN"/>
        </w:rPr>
        <w:t xml:space="preserve"> đ, điểm e khoản 1, khoản 2 Điều 4 và khoản 1 Điều 8 của Nghị định số 67/2014/NĐ- CP ngày 07 tháng 7 năm 2014 của Chính phủ về một số chính sách phát triển thủy sản (sau đây gọi là </w:t>
      </w:r>
      <w:r w:rsidRPr="006226D3">
        <w:rPr>
          <w:sz w:val="28"/>
          <w:szCs w:val="28"/>
          <w:shd w:val="solid" w:color="FFFFFF" w:fill="auto"/>
          <w:lang w:val="vi-VN" w:eastAsia="vi-VN"/>
        </w:rPr>
        <w:t>Nghị định số</w:t>
      </w:r>
      <w:r w:rsidRPr="006226D3">
        <w:rPr>
          <w:sz w:val="28"/>
          <w:szCs w:val="28"/>
          <w:lang w:val="vi-VN" w:eastAsia="vi-VN"/>
        </w:rPr>
        <w:t xml:space="preserve"> 67/2014/NĐ-CP); khoản 2, khoản 3 và k</w:t>
      </w:r>
      <w:r w:rsidRPr="006226D3">
        <w:rPr>
          <w:sz w:val="28"/>
          <w:szCs w:val="28"/>
          <w:shd w:val="solid" w:color="FFFFFF" w:fill="auto"/>
          <w:lang w:val="vi-VN" w:eastAsia="vi-VN"/>
        </w:rPr>
        <w:t>ho</w:t>
      </w:r>
      <w:r w:rsidRPr="006226D3">
        <w:rPr>
          <w:sz w:val="28"/>
          <w:szCs w:val="28"/>
          <w:shd w:val="solid" w:color="FFFFFF" w:fill="auto"/>
        </w:rPr>
        <w:t>ả</w:t>
      </w:r>
      <w:r w:rsidRPr="006226D3">
        <w:rPr>
          <w:sz w:val="28"/>
          <w:szCs w:val="28"/>
          <w:shd w:val="solid" w:color="FFFFFF" w:fill="auto"/>
          <w:lang w:val="vi-VN" w:eastAsia="vi-VN"/>
        </w:rPr>
        <w:t>n</w:t>
      </w:r>
      <w:r w:rsidRPr="006226D3">
        <w:rPr>
          <w:sz w:val="28"/>
          <w:szCs w:val="28"/>
          <w:lang w:val="vi-VN" w:eastAsia="vi-VN"/>
        </w:rPr>
        <w:t xml:space="preserve"> 4 Điều 1 của Nghị định số 89/2015/NĐ-CP ngày 07 tháng 10 năm 2015 của Chính phủ sửa đổi, bổ sung một số điều của Nghị định số 67/2014/NĐ-CP (sau đây gọi là Nghị định số 89/2015/NĐ-CP)”.</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2. Sửa đổi Điều 2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“Các ngân hàng thương mại thực hiện chính sách tín dụng đóng mới tàu, nâng cấp tàu theo quy định tại điểm b, điểm đ, điểm e khoản 1 Điều 4 Nghị định số 67/2014/NĐ-CP; khoản 1, khoản 2, khoản 3 và khoản 4 </w:t>
      </w:r>
      <w:r w:rsidRPr="006226D3">
        <w:rPr>
          <w:sz w:val="28"/>
          <w:szCs w:val="28"/>
          <w:shd w:val="solid" w:color="FFFFFF" w:fill="auto"/>
          <w:lang w:val="vi-VN" w:eastAsia="vi-VN"/>
        </w:rPr>
        <w:t>Điều</w:t>
      </w:r>
      <w:r w:rsidRPr="006226D3">
        <w:rPr>
          <w:sz w:val="28"/>
          <w:szCs w:val="28"/>
          <w:lang w:val="vi-VN" w:eastAsia="vi-VN"/>
        </w:rPr>
        <w:t xml:space="preserve"> 1 </w:t>
      </w:r>
      <w:r w:rsidRPr="006226D3">
        <w:rPr>
          <w:sz w:val="28"/>
          <w:szCs w:val="28"/>
          <w:shd w:val="solid" w:color="FFFFFF" w:fill="auto"/>
          <w:lang w:val="vi-VN" w:eastAsia="vi-VN"/>
        </w:rPr>
        <w:t>Nghị định số</w:t>
      </w:r>
      <w:r w:rsidRPr="006226D3">
        <w:rPr>
          <w:sz w:val="28"/>
          <w:szCs w:val="28"/>
          <w:lang w:val="vi-VN" w:eastAsia="vi-VN"/>
        </w:rPr>
        <w:t xml:space="preserve"> 89/2015/NĐ-CP và </w:t>
      </w:r>
      <w:r w:rsidRPr="006226D3">
        <w:rPr>
          <w:sz w:val="28"/>
          <w:szCs w:val="28"/>
          <w:shd w:val="solid" w:color="FFFFFF" w:fill="auto"/>
          <w:lang w:val="vi-VN" w:eastAsia="vi-VN"/>
        </w:rPr>
        <w:t>hướng dẫn</w:t>
      </w:r>
      <w:r w:rsidRPr="006226D3">
        <w:rPr>
          <w:sz w:val="28"/>
          <w:szCs w:val="28"/>
          <w:lang w:val="vi-VN" w:eastAsia="vi-VN"/>
        </w:rPr>
        <w:t xml:space="preserve"> của Ngân hàng Nhà nước Việt Nam”.</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3. Sửa đổi khoản 1 Điều 3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“1. Thực hiện chính sách tín dụng đóng mới, nâng cấp tàu theo đúng quy định tại điểm b, điểm đ, điểm e khoản 1 Điều 4 của </w:t>
      </w:r>
      <w:r w:rsidRPr="006226D3">
        <w:rPr>
          <w:sz w:val="28"/>
          <w:szCs w:val="28"/>
          <w:shd w:val="solid" w:color="FFFFFF" w:fill="auto"/>
          <w:lang w:val="vi-VN" w:eastAsia="vi-VN"/>
        </w:rPr>
        <w:t>Nghị định số</w:t>
      </w:r>
      <w:r w:rsidRPr="006226D3">
        <w:rPr>
          <w:sz w:val="28"/>
          <w:szCs w:val="28"/>
          <w:lang w:val="vi-VN" w:eastAsia="vi-VN"/>
        </w:rPr>
        <w:t xml:space="preserve"> 67/2014/NĐ-CP và khoản 2, khoản 3, khoản 4 Điều 1 của </w:t>
      </w:r>
      <w:r w:rsidRPr="006226D3">
        <w:rPr>
          <w:sz w:val="28"/>
          <w:szCs w:val="28"/>
          <w:shd w:val="solid" w:color="FFFFFF" w:fill="auto"/>
          <w:lang w:val="vi-VN" w:eastAsia="vi-VN"/>
        </w:rPr>
        <w:t>Nghị định số</w:t>
      </w:r>
      <w:r w:rsidRPr="006226D3">
        <w:rPr>
          <w:sz w:val="28"/>
          <w:szCs w:val="28"/>
          <w:lang w:val="vi-VN" w:eastAsia="vi-VN"/>
        </w:rPr>
        <w:t xml:space="preserve"> 89/2015/NĐ-CP và hướng dẫn của Ngân hàng Nhà nước Việt Nam”.</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4. Sửa đổi khoản 1 Điều 4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“1. Mức lãi suất cấp bù cho các ngân hàn</w:t>
      </w:r>
      <w:r w:rsidRPr="006226D3">
        <w:rPr>
          <w:sz w:val="28"/>
          <w:szCs w:val="28"/>
        </w:rPr>
        <w:t>g</w:t>
      </w:r>
      <w:r w:rsidRPr="006226D3">
        <w:rPr>
          <w:sz w:val="28"/>
          <w:szCs w:val="28"/>
          <w:lang w:val="vi-VN" w:eastAsia="vi-VN"/>
        </w:rPr>
        <w:t xml:space="preserve"> th</w:t>
      </w:r>
      <w:r w:rsidRPr="006226D3">
        <w:rPr>
          <w:sz w:val="28"/>
          <w:szCs w:val="28"/>
          <w:shd w:val="solid" w:color="FFFFFF" w:fill="auto"/>
          <w:lang w:val="vi-VN" w:eastAsia="vi-VN"/>
        </w:rPr>
        <w:t>ươ</w:t>
      </w:r>
      <w:r w:rsidRPr="006226D3">
        <w:rPr>
          <w:sz w:val="28"/>
          <w:szCs w:val="28"/>
          <w:lang w:val="vi-VN" w:eastAsia="vi-VN"/>
        </w:rPr>
        <w:t>ng mại.</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a) </w:t>
      </w:r>
      <w:r w:rsidRPr="006226D3">
        <w:rPr>
          <w:sz w:val="28"/>
          <w:szCs w:val="28"/>
          <w:shd w:val="solid" w:color="FFFFFF" w:fill="auto"/>
          <w:lang w:val="vi-VN" w:eastAsia="vi-VN"/>
        </w:rPr>
        <w:t>Đối với</w:t>
      </w:r>
      <w:r w:rsidRPr="006226D3">
        <w:rPr>
          <w:sz w:val="28"/>
          <w:szCs w:val="28"/>
          <w:lang w:val="vi-VN" w:eastAsia="vi-VN"/>
        </w:rPr>
        <w:t xml:space="preserve"> năm đầu tiên (12 tháng), tính từ ngày giải ngân khoản vay đầu tiên, chủ tàu được mi</w:t>
      </w:r>
      <w:r w:rsidRPr="006226D3">
        <w:rPr>
          <w:sz w:val="28"/>
          <w:szCs w:val="28"/>
        </w:rPr>
        <w:t>ễ</w:t>
      </w:r>
      <w:r w:rsidRPr="006226D3">
        <w:rPr>
          <w:sz w:val="28"/>
          <w:szCs w:val="28"/>
          <w:lang w:val="vi-VN" w:eastAsia="vi-VN"/>
        </w:rPr>
        <w:t xml:space="preserve">n lãi và chưa phải trả nợ gốc theo quy định tại khoản 4 Điều 1 </w:t>
      </w:r>
      <w:r w:rsidRPr="006226D3">
        <w:rPr>
          <w:sz w:val="28"/>
          <w:szCs w:val="28"/>
          <w:shd w:val="solid" w:color="FFFFFF" w:fill="auto"/>
          <w:lang w:val="vi-VN" w:eastAsia="vi-VN"/>
        </w:rPr>
        <w:t>của</w:t>
      </w:r>
      <w:r w:rsidRPr="006226D3">
        <w:rPr>
          <w:sz w:val="28"/>
          <w:szCs w:val="28"/>
          <w:lang w:val="vi-VN" w:eastAsia="vi-VN"/>
        </w:rPr>
        <w:t xml:space="preserve"> Nghị định số 89/2015/NĐ-CP: Mức lãi suất cấp bù là 7%/năm. Trường hợp Ngân hàng Nhà nước Việt Nam </w:t>
      </w:r>
      <w:r w:rsidRPr="006226D3">
        <w:rPr>
          <w:sz w:val="28"/>
          <w:szCs w:val="28"/>
        </w:rPr>
        <w:t xml:space="preserve">điều chỉnh </w:t>
      </w:r>
      <w:r w:rsidRPr="006226D3">
        <w:rPr>
          <w:sz w:val="28"/>
          <w:szCs w:val="28"/>
          <w:lang w:val="vi-VN" w:eastAsia="vi-VN"/>
        </w:rPr>
        <w:t>giảm lãi suất cho vay thấp hơn 7%/năm thì mức lãi suất cấp bù là lãi suất cho vay do Ngân hàng Nhà nước Việt Nam công b</w:t>
      </w:r>
      <w:r w:rsidRPr="006226D3">
        <w:rPr>
          <w:sz w:val="28"/>
          <w:szCs w:val="28"/>
        </w:rPr>
        <w:t>ố</w:t>
      </w:r>
      <w:r w:rsidRPr="006226D3">
        <w:rPr>
          <w:sz w:val="28"/>
          <w:szCs w:val="28"/>
          <w:lang w:val="vi-VN" w:eastAsia="vi-VN"/>
        </w:rPr>
        <w:t>.</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b) Từ năm thứ 2 trở đi của hợp đồng tín dụng, mức lãi suất </w:t>
      </w:r>
      <w:r w:rsidRPr="006226D3">
        <w:rPr>
          <w:sz w:val="28"/>
          <w:szCs w:val="28"/>
          <w:shd w:val="solid" w:color="FFFFFF" w:fill="auto"/>
          <w:lang w:val="vi-VN" w:eastAsia="vi-VN"/>
        </w:rPr>
        <w:t>cấp</w:t>
      </w:r>
      <w:r w:rsidRPr="006226D3">
        <w:rPr>
          <w:sz w:val="28"/>
          <w:szCs w:val="28"/>
          <w:lang w:val="vi-VN" w:eastAsia="vi-VN"/>
        </w:rPr>
        <w:t xml:space="preserve"> bù là chênh lệch giữa lãi suất ngân hàng thương mại cho vay và lãi suất </w:t>
      </w:r>
      <w:r w:rsidRPr="006226D3">
        <w:rPr>
          <w:sz w:val="28"/>
          <w:szCs w:val="28"/>
          <w:shd w:val="solid" w:color="FFFFFF" w:fill="auto"/>
          <w:lang w:val="vi-VN" w:eastAsia="vi-VN"/>
        </w:rPr>
        <w:t>chủ</w:t>
      </w:r>
      <w:r w:rsidRPr="006226D3">
        <w:rPr>
          <w:sz w:val="28"/>
          <w:szCs w:val="28"/>
          <w:lang w:val="vi-VN" w:eastAsia="vi-VN"/>
        </w:rPr>
        <w:t xml:space="preserve"> tàu phải trả theo quy định tại khoản 3 Điều 1 của </w:t>
      </w:r>
      <w:r w:rsidRPr="006226D3">
        <w:rPr>
          <w:sz w:val="28"/>
          <w:szCs w:val="28"/>
          <w:shd w:val="solid" w:color="FFFFFF" w:fill="auto"/>
          <w:lang w:val="vi-VN" w:eastAsia="vi-VN"/>
        </w:rPr>
        <w:t>Nghị định số</w:t>
      </w:r>
      <w:r w:rsidRPr="006226D3">
        <w:rPr>
          <w:sz w:val="28"/>
          <w:szCs w:val="28"/>
          <w:lang w:val="vi-VN" w:eastAsia="vi-VN"/>
        </w:rPr>
        <w:t xml:space="preserve"> 89/2015/NĐ-CP. Trường hợp Ngân hàng Nhà nước Việt Nam điều </w:t>
      </w:r>
      <w:r w:rsidRPr="006226D3">
        <w:rPr>
          <w:sz w:val="28"/>
          <w:szCs w:val="28"/>
        </w:rPr>
        <w:t xml:space="preserve">chỉnh </w:t>
      </w:r>
      <w:r w:rsidRPr="006226D3">
        <w:rPr>
          <w:sz w:val="28"/>
          <w:szCs w:val="28"/>
          <w:lang w:val="vi-VN" w:eastAsia="vi-VN"/>
        </w:rPr>
        <w:t>giảm lãi suất cho vay thấp hơn 7%/</w:t>
      </w:r>
      <w:r w:rsidRPr="006226D3">
        <w:rPr>
          <w:sz w:val="28"/>
          <w:szCs w:val="28"/>
          <w:shd w:val="solid" w:color="FFFFFF" w:fill="auto"/>
          <w:lang w:val="vi-VN" w:eastAsia="vi-VN"/>
        </w:rPr>
        <w:t>năm</w:t>
      </w:r>
      <w:r w:rsidRPr="006226D3">
        <w:rPr>
          <w:sz w:val="28"/>
          <w:szCs w:val="28"/>
          <w:lang w:val="vi-VN" w:eastAsia="vi-VN"/>
        </w:rPr>
        <w:t xml:space="preserve"> th</w:t>
      </w:r>
      <w:r w:rsidRPr="006226D3">
        <w:rPr>
          <w:sz w:val="28"/>
          <w:szCs w:val="28"/>
        </w:rPr>
        <w:t xml:space="preserve">ì </w:t>
      </w:r>
      <w:r w:rsidRPr="006226D3">
        <w:rPr>
          <w:sz w:val="28"/>
          <w:szCs w:val="28"/>
          <w:lang w:val="vi-VN" w:eastAsia="vi-VN"/>
        </w:rPr>
        <w:t>lãi suất cho vay làm căn cứ cấp bù là lãi suất cho vay do Ngân hàng Nhà nước Việt Nam công bố”.</w:t>
      </w:r>
    </w:p>
    <w:p w:rsidR="006226D3" w:rsidRPr="006226D3" w:rsidRDefault="006226D3" w:rsidP="006226D3">
      <w:pPr>
        <w:spacing w:before="120" w:afterLines="50" w:after="120" w:line="312" w:lineRule="auto"/>
        <w:jc w:val="both"/>
        <w:rPr>
          <w:sz w:val="28"/>
          <w:szCs w:val="28"/>
        </w:rPr>
      </w:pPr>
      <w:r w:rsidRPr="006226D3">
        <w:rPr>
          <w:b/>
          <w:bCs/>
          <w:sz w:val="28"/>
          <w:szCs w:val="28"/>
          <w:lang w:val="vi-VN" w:eastAsia="vi-VN"/>
        </w:rPr>
        <w:t xml:space="preserve">Điều 2. Sửa đổi, bổ sung một số điều của Thông tư số 117/2014/TT-BTC ngày 21 tháng 8 năm 2014 </w:t>
      </w:r>
      <w:r w:rsidRPr="006226D3">
        <w:rPr>
          <w:b/>
          <w:bCs/>
          <w:sz w:val="28"/>
          <w:szCs w:val="28"/>
        </w:rPr>
        <w:t xml:space="preserve">hướng dẫn </w:t>
      </w:r>
      <w:r w:rsidRPr="006226D3">
        <w:rPr>
          <w:b/>
          <w:bCs/>
          <w:sz w:val="28"/>
          <w:szCs w:val="28"/>
          <w:lang w:val="vi-VN" w:eastAsia="vi-VN"/>
        </w:rPr>
        <w:t xml:space="preserve">thực hiện một </w:t>
      </w:r>
      <w:r w:rsidRPr="006226D3">
        <w:rPr>
          <w:b/>
          <w:bCs/>
          <w:sz w:val="28"/>
          <w:szCs w:val="28"/>
          <w:shd w:val="solid" w:color="FFFFFF" w:fill="auto"/>
          <w:lang w:val="vi-VN" w:eastAsia="vi-VN"/>
        </w:rPr>
        <w:t>số</w:t>
      </w:r>
      <w:r w:rsidRPr="006226D3">
        <w:rPr>
          <w:b/>
          <w:bCs/>
          <w:sz w:val="28"/>
          <w:szCs w:val="28"/>
          <w:lang w:val="vi-VN" w:eastAsia="vi-VN"/>
        </w:rPr>
        <w:t xml:space="preserve"> điều Nghị định số 67/20I4/NĐ-CP ngày 07 tháng 7 năm 2014 của Chính phủ về một số chính sách phát triển thủy sản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1. Sửa đổi, bổ sung khoản 2 Điều 1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“2. Cơ chế cấp bù lãi suất thực hiện chính sách tín dụng quy định tại Điều 4 Nghị định số 67/2014/NĐ-CP và Điều 1 Nghị định số 89/2015/NĐ-CP; chính sách bảo hiểm quy định tại khoản 5 Điều 1 Nghị định số 89/2015/NĐ-CP thực hiện theo Thông tư </w:t>
      </w:r>
      <w:r w:rsidRPr="006226D3">
        <w:rPr>
          <w:sz w:val="28"/>
          <w:szCs w:val="28"/>
          <w:shd w:val="solid" w:color="FFFFFF" w:fill="auto"/>
          <w:lang w:val="vi-VN" w:eastAsia="vi-VN"/>
        </w:rPr>
        <w:t>hướng dẫn</w:t>
      </w:r>
      <w:r w:rsidRPr="006226D3">
        <w:rPr>
          <w:sz w:val="28"/>
          <w:szCs w:val="28"/>
          <w:lang w:val="vi-VN" w:eastAsia="vi-VN"/>
        </w:rPr>
        <w:t xml:space="preserve"> riêng của Bộ Tài chính”.</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2. Sửa đổi, bổ sung khoản 2 Điều 3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“2. Tiêu chí phân loại cảng cá, khu neo đậu tránh trú bão:</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a) Phân loại cảng cá: thực hiện theo quy định tại điểm 1 khoản IV Điều 1 Quyết định số 1976/QĐ-TTg ngày 12 tháng 11 năm 2015 của Thủ tướng Chính phủ </w:t>
      </w:r>
      <w:r w:rsidRPr="006226D3">
        <w:rPr>
          <w:sz w:val="28"/>
          <w:szCs w:val="28"/>
          <w:shd w:val="solid" w:color="FFFFFF" w:fill="auto"/>
          <w:lang w:val="vi-VN" w:eastAsia="vi-VN"/>
        </w:rPr>
        <w:t>về</w:t>
      </w:r>
      <w:r w:rsidRPr="006226D3">
        <w:rPr>
          <w:sz w:val="28"/>
          <w:szCs w:val="28"/>
          <w:lang w:val="vi-VN" w:eastAsia="vi-VN"/>
        </w:rPr>
        <w:t xml:space="preserve"> việc quy hoạch hệ thống cảng cá và khu neo đậu tránh trú bão cho tàu cá đến năm 2020, định hướng đến năm 2030.</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b) Phân loại các khu neo đậu tránh trú b</w:t>
      </w:r>
      <w:r w:rsidRPr="006226D3">
        <w:rPr>
          <w:sz w:val="28"/>
          <w:szCs w:val="28"/>
        </w:rPr>
        <w:t>ã</w:t>
      </w:r>
      <w:r w:rsidRPr="006226D3">
        <w:rPr>
          <w:sz w:val="28"/>
          <w:szCs w:val="28"/>
          <w:lang w:val="vi-VN" w:eastAsia="vi-VN"/>
        </w:rPr>
        <w:t xml:space="preserve">o: thực hiện theo quy định tại điểm 2, điểm 3 khoản IV Điều 1 </w:t>
      </w:r>
      <w:r w:rsidRPr="006226D3">
        <w:rPr>
          <w:sz w:val="28"/>
          <w:szCs w:val="28"/>
          <w:shd w:val="solid" w:color="FFFFFF" w:fill="auto"/>
          <w:lang w:val="vi-VN" w:eastAsia="vi-VN"/>
        </w:rPr>
        <w:t>Quyết định số</w:t>
      </w:r>
      <w:r w:rsidRPr="006226D3">
        <w:rPr>
          <w:sz w:val="28"/>
          <w:szCs w:val="28"/>
          <w:lang w:val="vi-VN" w:eastAsia="vi-VN"/>
        </w:rPr>
        <w:t xml:space="preserve"> 1976/QĐ-TTg ngày </w:t>
      </w:r>
      <w:r w:rsidRPr="006226D3">
        <w:rPr>
          <w:sz w:val="28"/>
          <w:szCs w:val="28"/>
        </w:rPr>
        <w:t>1</w:t>
      </w:r>
      <w:r w:rsidRPr="006226D3">
        <w:rPr>
          <w:sz w:val="28"/>
          <w:szCs w:val="28"/>
          <w:lang w:val="vi-VN" w:eastAsia="vi-VN"/>
        </w:rPr>
        <w:t xml:space="preserve">2 tháng </w:t>
      </w:r>
      <w:r w:rsidRPr="006226D3">
        <w:rPr>
          <w:sz w:val="28"/>
          <w:szCs w:val="28"/>
        </w:rPr>
        <w:t>1</w:t>
      </w:r>
      <w:r w:rsidRPr="006226D3">
        <w:rPr>
          <w:sz w:val="28"/>
          <w:szCs w:val="28"/>
          <w:lang w:val="vi-VN" w:eastAsia="vi-VN"/>
        </w:rPr>
        <w:t xml:space="preserve">1 năm 2015 của Thủ tướng Chính phủ </w:t>
      </w:r>
      <w:r w:rsidRPr="006226D3">
        <w:rPr>
          <w:sz w:val="28"/>
          <w:szCs w:val="28"/>
          <w:shd w:val="solid" w:color="FFFFFF" w:fill="auto"/>
          <w:lang w:val="vi-VN" w:eastAsia="vi-VN"/>
        </w:rPr>
        <w:t>về</w:t>
      </w:r>
      <w:r w:rsidRPr="006226D3">
        <w:rPr>
          <w:sz w:val="28"/>
          <w:szCs w:val="28"/>
          <w:lang w:val="vi-VN" w:eastAsia="vi-VN"/>
        </w:rPr>
        <w:t xml:space="preserve"> việc quy hoạch hệ thống cảng cá và khu neo đậu tránh trú bão cho tàu cá đến năm 2020, định hướng đến năm 2030”.</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3. Sửa đổi, bổ sung Điều 7 như sau:</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“Điều 7. H</w:t>
      </w:r>
      <w:r w:rsidRPr="006226D3">
        <w:rPr>
          <w:sz w:val="28"/>
          <w:szCs w:val="28"/>
        </w:rPr>
        <w:t xml:space="preserve">ỗ </w:t>
      </w:r>
      <w:r w:rsidRPr="006226D3">
        <w:rPr>
          <w:sz w:val="28"/>
          <w:szCs w:val="28"/>
          <w:lang w:val="vi-VN" w:eastAsia="vi-VN"/>
        </w:rPr>
        <w:t xml:space="preserve">trợ chi phí thiết kế mẫu tàu vỏ thép, vỏ vật liệu mới, vỏ gỗ </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1. Đ</w:t>
      </w:r>
      <w:r w:rsidRPr="006226D3">
        <w:rPr>
          <w:sz w:val="28"/>
          <w:szCs w:val="28"/>
        </w:rPr>
        <w:t>ố</w:t>
      </w:r>
      <w:r w:rsidRPr="006226D3">
        <w:rPr>
          <w:sz w:val="28"/>
          <w:szCs w:val="28"/>
          <w:lang w:val="vi-VN" w:eastAsia="vi-VN"/>
        </w:rPr>
        <w:t xml:space="preserve">i tượng được </w:t>
      </w:r>
      <w:r w:rsidRPr="006226D3">
        <w:rPr>
          <w:sz w:val="28"/>
          <w:szCs w:val="28"/>
          <w:shd w:val="solid" w:color="FFFFFF" w:fill="auto"/>
          <w:lang w:val="vi-VN" w:eastAsia="vi-VN"/>
        </w:rPr>
        <w:t>hỗ trợ</w:t>
      </w:r>
      <w:r w:rsidRPr="006226D3">
        <w:rPr>
          <w:sz w:val="28"/>
          <w:szCs w:val="28"/>
          <w:lang w:val="vi-VN" w:eastAsia="vi-VN"/>
        </w:rPr>
        <w:t xml:space="preserve">: </w:t>
      </w:r>
      <w:r w:rsidRPr="006226D3">
        <w:rPr>
          <w:sz w:val="28"/>
          <w:szCs w:val="28"/>
          <w:shd w:val="solid" w:color="FFFFFF" w:fill="auto"/>
          <w:lang w:val="vi-VN" w:eastAsia="vi-VN"/>
        </w:rPr>
        <w:t>Đơn vị</w:t>
      </w:r>
      <w:r w:rsidRPr="006226D3">
        <w:rPr>
          <w:sz w:val="28"/>
          <w:szCs w:val="28"/>
          <w:lang w:val="vi-VN" w:eastAsia="vi-VN"/>
        </w:rPr>
        <w:t xml:space="preserve"> được lựa chọn, đặt hàng thiết kế m</w:t>
      </w:r>
      <w:r w:rsidRPr="006226D3">
        <w:rPr>
          <w:sz w:val="28"/>
          <w:szCs w:val="28"/>
        </w:rPr>
        <w:t>ẫ</w:t>
      </w:r>
      <w:r w:rsidRPr="006226D3">
        <w:rPr>
          <w:sz w:val="28"/>
          <w:szCs w:val="28"/>
          <w:lang w:val="vi-VN" w:eastAsia="vi-VN"/>
        </w:rPr>
        <w:t>u tàu vỏ thép, vỏ vật liệu mới, vỏ g</w:t>
      </w:r>
      <w:r w:rsidRPr="006226D3">
        <w:rPr>
          <w:sz w:val="28"/>
          <w:szCs w:val="28"/>
        </w:rPr>
        <w:t xml:space="preserve">ỗ </w:t>
      </w:r>
      <w:r w:rsidRPr="006226D3">
        <w:rPr>
          <w:sz w:val="28"/>
          <w:szCs w:val="28"/>
          <w:lang w:val="vi-VN" w:eastAsia="vi-VN"/>
        </w:rPr>
        <w:t xml:space="preserve">khai thác hải sản, tàu dịch </w:t>
      </w:r>
      <w:r w:rsidRPr="006226D3">
        <w:rPr>
          <w:sz w:val="28"/>
          <w:szCs w:val="28"/>
        </w:rPr>
        <w:t xml:space="preserve">vụ </w:t>
      </w:r>
      <w:r w:rsidRPr="006226D3">
        <w:rPr>
          <w:sz w:val="28"/>
          <w:szCs w:val="28"/>
          <w:lang w:val="vi-VN" w:eastAsia="vi-VN"/>
        </w:rPr>
        <w:t>hậu cần khai thác hải sản xa bờ đối với tàu có tổng công suất máy chính từ 400CV trở lên”.</w:t>
      </w:r>
    </w:p>
    <w:p w:rsidR="006226D3" w:rsidRPr="006226D3" w:rsidRDefault="006226D3" w:rsidP="006226D3">
      <w:pPr>
        <w:spacing w:before="120" w:afterLines="50" w:after="120" w:line="312" w:lineRule="auto"/>
        <w:jc w:val="both"/>
        <w:rPr>
          <w:sz w:val="28"/>
          <w:szCs w:val="28"/>
        </w:rPr>
      </w:pPr>
      <w:r w:rsidRPr="006226D3">
        <w:rPr>
          <w:b/>
          <w:bCs/>
          <w:sz w:val="28"/>
          <w:szCs w:val="28"/>
          <w:lang w:val="vi-VN" w:eastAsia="vi-VN"/>
        </w:rPr>
        <w:t xml:space="preserve">Điều 3. Tổ chức </w:t>
      </w:r>
      <w:r w:rsidRPr="006226D3">
        <w:rPr>
          <w:b/>
          <w:bCs/>
          <w:sz w:val="28"/>
          <w:szCs w:val="28"/>
          <w:shd w:val="solid" w:color="FFFFFF" w:fill="auto"/>
          <w:lang w:val="vi-VN" w:eastAsia="vi-VN"/>
        </w:rPr>
        <w:t>thực hiện</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1. Thông tư này có hiệu lực thi hành kể từ ngày 04 tháng 3 năm 2016.</w:t>
      </w:r>
    </w:p>
    <w:p w:rsidR="006226D3" w:rsidRPr="006226D3" w:rsidRDefault="006226D3" w:rsidP="006226D3">
      <w:pPr>
        <w:spacing w:before="120" w:afterLines="50" w:after="120" w:line="312" w:lineRule="auto"/>
        <w:jc w:val="both"/>
        <w:rPr>
          <w:sz w:val="28"/>
          <w:szCs w:val="28"/>
        </w:rPr>
      </w:pPr>
      <w:r w:rsidRPr="006226D3">
        <w:rPr>
          <w:sz w:val="28"/>
          <w:szCs w:val="28"/>
          <w:lang w:val="vi-VN" w:eastAsia="vi-VN"/>
        </w:rPr>
        <w:t xml:space="preserve">2. </w:t>
      </w:r>
      <w:r w:rsidRPr="006226D3">
        <w:rPr>
          <w:sz w:val="28"/>
          <w:szCs w:val="28"/>
        </w:rPr>
        <w:t>T</w:t>
      </w:r>
      <w:r w:rsidRPr="006226D3">
        <w:rPr>
          <w:sz w:val="28"/>
          <w:szCs w:val="28"/>
          <w:lang w:val="vi-VN" w:eastAsia="vi-VN"/>
        </w:rPr>
        <w:t>rong quá trình thực hiện nếu phát sinh vướng mắc đề nghị phản ánh về Bộ Tài</w:t>
      </w:r>
      <w:r>
        <w:rPr>
          <w:sz w:val="28"/>
          <w:szCs w:val="28"/>
          <w:lang w:val="vi-VN" w:eastAsia="vi-VN"/>
        </w:rPr>
        <w:t xml:space="preserve"> chính để xem xét, giải quyết.</w:t>
      </w:r>
      <w:bookmarkStart w:id="0" w:name="_GoBack"/>
      <w:bookmarkEnd w:id="0"/>
    </w:p>
    <w:p w:rsidR="006226D3" w:rsidRPr="006226D3" w:rsidRDefault="006226D3" w:rsidP="006226D3">
      <w:pPr>
        <w:spacing w:before="120" w:afterLines="50" w:after="120" w:line="312" w:lineRule="auto"/>
        <w:jc w:val="both"/>
        <w:rPr>
          <w:sz w:val="28"/>
          <w:szCs w:val="28"/>
        </w:rPr>
      </w:pPr>
      <w:r w:rsidRPr="006226D3">
        <w:rPr>
          <w:sz w:val="28"/>
          <w:szCs w:val="28"/>
        </w:rPr>
        <w:t> </w:t>
      </w:r>
    </w:p>
    <w:tbl>
      <w:tblPr>
        <w:tblW w:w="0" w:type="auto"/>
        <w:tblLayout w:type="fixed"/>
        <w:tblCellMar>
          <w:left w:w="0" w:type="dxa"/>
          <w:right w:w="0" w:type="dxa"/>
        </w:tblCellMar>
        <w:tblLook w:val="0000" w:firstRow="0" w:lastRow="0" w:firstColumn="0" w:lastColumn="0" w:noHBand="0" w:noVBand="0"/>
      </w:tblPr>
      <w:tblGrid>
        <w:gridCol w:w="4275"/>
        <w:gridCol w:w="4365"/>
      </w:tblGrid>
      <w:tr w:rsidR="006226D3" w:rsidRPr="006226D3" w:rsidTr="005A6589">
        <w:tc>
          <w:tcPr>
            <w:tcW w:w="4275" w:type="dxa"/>
            <w:tcBorders>
              <w:tl2br w:val="nil"/>
              <w:tr2bl w:val="nil"/>
            </w:tcBorders>
            <w:tcMar>
              <w:top w:w="0" w:type="dxa"/>
              <w:left w:w="108" w:type="dxa"/>
              <w:bottom w:w="0" w:type="dxa"/>
              <w:right w:w="108" w:type="dxa"/>
            </w:tcMar>
          </w:tcPr>
          <w:p w:rsidR="006226D3" w:rsidRPr="006226D3" w:rsidRDefault="006226D3" w:rsidP="005A6589">
            <w:pPr>
              <w:spacing w:before="120" w:afterLines="50" w:after="120" w:line="312" w:lineRule="auto"/>
              <w:jc w:val="both"/>
              <w:rPr>
                <w:sz w:val="28"/>
                <w:szCs w:val="28"/>
              </w:rPr>
            </w:pPr>
            <w:r w:rsidRPr="006226D3">
              <w:rPr>
                <w:sz w:val="28"/>
                <w:szCs w:val="28"/>
              </w:rPr>
              <w:t> </w:t>
            </w:r>
          </w:p>
        </w:tc>
        <w:tc>
          <w:tcPr>
            <w:tcW w:w="4365" w:type="dxa"/>
            <w:tcBorders>
              <w:tl2br w:val="nil"/>
              <w:tr2bl w:val="nil"/>
            </w:tcBorders>
            <w:tcMar>
              <w:top w:w="0" w:type="dxa"/>
              <w:left w:w="108" w:type="dxa"/>
              <w:bottom w:w="0" w:type="dxa"/>
              <w:right w:w="108" w:type="dxa"/>
            </w:tcMar>
          </w:tcPr>
          <w:p w:rsidR="006226D3" w:rsidRPr="006226D3" w:rsidRDefault="006226D3" w:rsidP="005A6589">
            <w:pPr>
              <w:spacing w:before="120" w:afterLines="50" w:after="120" w:line="312" w:lineRule="auto"/>
              <w:jc w:val="center"/>
              <w:rPr>
                <w:sz w:val="28"/>
                <w:szCs w:val="28"/>
              </w:rPr>
            </w:pPr>
            <w:r w:rsidRPr="006226D3">
              <w:rPr>
                <w:b/>
                <w:bCs/>
                <w:sz w:val="28"/>
                <w:szCs w:val="28"/>
              </w:rPr>
              <w:t>KT. BỘ TRƯỞNG</w:t>
            </w:r>
            <w:r w:rsidRPr="006226D3">
              <w:rPr>
                <w:b/>
                <w:bCs/>
                <w:sz w:val="28"/>
                <w:szCs w:val="28"/>
              </w:rPr>
              <w:br/>
              <w:t>THỨ TRƯỞNG</w:t>
            </w:r>
            <w:r w:rsidRPr="006226D3">
              <w:rPr>
                <w:b/>
                <w:bCs/>
                <w:sz w:val="28"/>
                <w:szCs w:val="28"/>
              </w:rPr>
              <w:br/>
            </w:r>
            <w:r w:rsidRPr="006226D3">
              <w:rPr>
                <w:b/>
                <w:bCs/>
                <w:sz w:val="28"/>
                <w:szCs w:val="28"/>
              </w:rPr>
              <w:br/>
            </w:r>
            <w:r w:rsidRPr="006226D3">
              <w:rPr>
                <w:b/>
                <w:bCs/>
                <w:sz w:val="28"/>
                <w:szCs w:val="28"/>
              </w:rPr>
              <w:br/>
              <w:t>Trần Văn Hiếu</w:t>
            </w:r>
          </w:p>
        </w:tc>
      </w:tr>
    </w:tbl>
    <w:p w:rsidR="006226D3" w:rsidRPr="006226D3" w:rsidRDefault="006226D3" w:rsidP="006226D3">
      <w:pPr>
        <w:spacing w:before="120" w:afterLines="50" w:after="120" w:line="312" w:lineRule="auto"/>
        <w:jc w:val="both"/>
        <w:rPr>
          <w:sz w:val="28"/>
          <w:szCs w:val="28"/>
        </w:rPr>
      </w:pPr>
      <w:r w:rsidRPr="006226D3">
        <w:rPr>
          <w:sz w:val="28"/>
          <w:szCs w:val="28"/>
        </w:rPr>
        <w:t> </w:t>
      </w:r>
    </w:p>
    <w:p w:rsidR="00D62FEC" w:rsidRPr="006226D3" w:rsidRDefault="00D62FEC">
      <w:pPr>
        <w:rPr>
          <w:sz w:val="28"/>
          <w:szCs w:val="28"/>
        </w:rPr>
      </w:pPr>
    </w:p>
    <w:sectPr w:rsidR="00D62FEC" w:rsidRPr="006226D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6D3"/>
    <w:rsid w:val="006226D3"/>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395C"/>
  <w15:chartTrackingRefBased/>
  <w15:docId w15:val="{ACAE5FE9-393D-4F52-946F-DC85CA5E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6D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2020-04-25T10:42:00Z</dcterms:created>
  <dcterms:modified xsi:type="dcterms:W3CDTF">2020-04-25T10:43:00Z</dcterms:modified>
</cp:coreProperties>
</file>