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Layout w:type="fixed"/>
        <w:tblLook w:val="0000" w:firstRow="0" w:lastRow="0" w:firstColumn="0" w:lastColumn="0" w:noHBand="0" w:noVBand="0"/>
      </w:tblPr>
      <w:tblGrid>
        <w:gridCol w:w="3348"/>
        <w:gridCol w:w="6192"/>
      </w:tblGrid>
      <w:tr w:rsidR="005405D7" w:rsidRPr="005405D7" w:rsidTr="005405D7">
        <w:tc>
          <w:tcPr>
            <w:tcW w:w="3348" w:type="dxa"/>
          </w:tcPr>
          <w:p w:rsidR="005405D7" w:rsidRPr="005405D7" w:rsidRDefault="005405D7" w:rsidP="002A361E">
            <w:pPr>
              <w:spacing w:after="120"/>
              <w:jc w:val="center"/>
              <w:rPr>
                <w:b/>
                <w:sz w:val="28"/>
                <w:szCs w:val="28"/>
              </w:rPr>
            </w:pPr>
            <w:r w:rsidRPr="005405D7">
              <w:rPr>
                <w:b/>
                <w:sz w:val="28"/>
                <w:szCs w:val="28"/>
                <w:lang w:val="es-ES_tradnl"/>
              </w:rPr>
              <w:t>BỘ Y TẾ</w:t>
            </w:r>
            <w:r w:rsidRPr="005405D7">
              <w:rPr>
                <w:b/>
                <w:sz w:val="28"/>
                <w:szCs w:val="28"/>
                <w:lang w:val="es-ES_tradnl"/>
              </w:rPr>
              <w:br/>
              <w:t>--------</w:t>
            </w:r>
          </w:p>
        </w:tc>
        <w:tc>
          <w:tcPr>
            <w:tcW w:w="6192" w:type="dxa"/>
          </w:tcPr>
          <w:p w:rsidR="005405D7" w:rsidRPr="005405D7" w:rsidRDefault="005405D7" w:rsidP="002A361E">
            <w:pPr>
              <w:spacing w:after="120"/>
              <w:jc w:val="center"/>
              <w:rPr>
                <w:sz w:val="28"/>
                <w:szCs w:val="28"/>
              </w:rPr>
            </w:pPr>
            <w:r w:rsidRPr="005405D7">
              <w:rPr>
                <w:b/>
                <w:sz w:val="28"/>
                <w:szCs w:val="28"/>
              </w:rPr>
              <w:t>CỘNG HÒA XÃ HỘI CHỦ NGHĨA VIỆT NAM</w:t>
            </w:r>
            <w:r w:rsidRPr="005405D7">
              <w:rPr>
                <w:b/>
                <w:sz w:val="28"/>
                <w:szCs w:val="28"/>
              </w:rPr>
              <w:br/>
              <w:t xml:space="preserve">Độc lập - Tự do - Hạnh phúc </w:t>
            </w:r>
            <w:r w:rsidRPr="005405D7">
              <w:rPr>
                <w:b/>
                <w:sz w:val="28"/>
                <w:szCs w:val="28"/>
              </w:rPr>
              <w:br/>
              <w:t>---------------</w:t>
            </w:r>
          </w:p>
        </w:tc>
      </w:tr>
      <w:tr w:rsidR="005405D7" w:rsidRPr="005405D7" w:rsidTr="005405D7">
        <w:tc>
          <w:tcPr>
            <w:tcW w:w="3348" w:type="dxa"/>
          </w:tcPr>
          <w:p w:rsidR="005405D7" w:rsidRPr="005405D7" w:rsidRDefault="005405D7" w:rsidP="002A361E">
            <w:pPr>
              <w:pStyle w:val="Heading5"/>
              <w:keepNext w:val="0"/>
              <w:spacing w:after="120"/>
              <w:rPr>
                <w:rFonts w:ascii="Times New Roman" w:hAnsi="Times New Roman"/>
                <w:b w:val="0"/>
                <w:sz w:val="28"/>
                <w:szCs w:val="28"/>
                <w:lang w:val="es-ES_tradnl"/>
              </w:rPr>
            </w:pPr>
            <w:r w:rsidRPr="005405D7">
              <w:rPr>
                <w:rFonts w:ascii="Times New Roman" w:hAnsi="Times New Roman"/>
                <w:b w:val="0"/>
                <w:sz w:val="28"/>
                <w:szCs w:val="28"/>
                <w:lang w:val="es-ES_tradnl"/>
              </w:rPr>
              <w:t>Số: 40/2014/TT-BYT</w:t>
            </w:r>
          </w:p>
        </w:tc>
        <w:tc>
          <w:tcPr>
            <w:tcW w:w="6192" w:type="dxa"/>
          </w:tcPr>
          <w:p w:rsidR="005405D7" w:rsidRPr="005405D7" w:rsidRDefault="005405D7" w:rsidP="002A361E">
            <w:pPr>
              <w:pStyle w:val="Heading1"/>
              <w:keepNext w:val="0"/>
              <w:spacing w:after="120"/>
              <w:jc w:val="right"/>
              <w:rPr>
                <w:rFonts w:ascii="Times New Roman" w:hAnsi="Times New Roman"/>
                <w:b w:val="0"/>
                <w:i/>
                <w:sz w:val="28"/>
                <w:szCs w:val="28"/>
                <w:lang w:val="es-ES_tradnl"/>
              </w:rPr>
            </w:pPr>
            <w:r w:rsidRPr="005405D7">
              <w:rPr>
                <w:rFonts w:ascii="Times New Roman" w:hAnsi="Times New Roman"/>
                <w:b w:val="0"/>
                <w:i/>
                <w:sz w:val="28"/>
                <w:szCs w:val="28"/>
                <w:lang w:val="es-ES_tradnl"/>
              </w:rPr>
              <w:t>Hà Nội, ngày 17 tháng 11 năm 2014</w:t>
            </w:r>
          </w:p>
        </w:tc>
      </w:tr>
    </w:tbl>
    <w:p w:rsidR="005405D7" w:rsidRPr="005405D7" w:rsidRDefault="005405D7" w:rsidP="005405D7">
      <w:pPr>
        <w:autoSpaceDE w:val="0"/>
        <w:autoSpaceDN w:val="0"/>
        <w:adjustRightInd w:val="0"/>
        <w:spacing w:after="120"/>
        <w:rPr>
          <w:b/>
          <w:sz w:val="28"/>
          <w:szCs w:val="28"/>
          <w:lang w:val="es-ES_tradnl"/>
        </w:rPr>
      </w:pPr>
    </w:p>
    <w:p w:rsidR="005405D7" w:rsidRPr="005405D7" w:rsidRDefault="005405D7" w:rsidP="005405D7">
      <w:pPr>
        <w:autoSpaceDE w:val="0"/>
        <w:autoSpaceDN w:val="0"/>
        <w:adjustRightInd w:val="0"/>
        <w:spacing w:after="120"/>
        <w:jc w:val="center"/>
        <w:rPr>
          <w:b/>
          <w:bCs/>
          <w:sz w:val="28"/>
          <w:szCs w:val="28"/>
          <w:lang w:val="es-ES_tradnl"/>
        </w:rPr>
      </w:pPr>
      <w:bookmarkStart w:id="0" w:name="loai_1"/>
      <w:r w:rsidRPr="005405D7">
        <w:rPr>
          <w:b/>
          <w:bCs/>
          <w:sz w:val="28"/>
          <w:szCs w:val="28"/>
          <w:lang w:val="es-ES_tradnl"/>
        </w:rPr>
        <w:t>THÔNG TƯ</w:t>
      </w:r>
    </w:p>
    <w:p w:rsidR="005405D7" w:rsidRPr="005405D7" w:rsidRDefault="005405D7" w:rsidP="005405D7">
      <w:pPr>
        <w:tabs>
          <w:tab w:val="left" w:pos="7938"/>
        </w:tabs>
        <w:autoSpaceDE w:val="0"/>
        <w:autoSpaceDN w:val="0"/>
        <w:adjustRightInd w:val="0"/>
        <w:spacing w:after="120"/>
        <w:jc w:val="center"/>
        <w:rPr>
          <w:bCs/>
          <w:spacing w:val="-1"/>
          <w:sz w:val="28"/>
          <w:szCs w:val="28"/>
          <w:lang w:val="es-ES_tradnl"/>
        </w:rPr>
      </w:pPr>
      <w:bookmarkStart w:id="1" w:name="loai_1_name"/>
      <w:bookmarkEnd w:id="0"/>
      <w:r w:rsidRPr="005405D7">
        <w:rPr>
          <w:bCs/>
          <w:sz w:val="28"/>
          <w:szCs w:val="28"/>
          <w:lang w:val="es-ES_tradnl"/>
        </w:rPr>
        <w:t>BAN HÀNH VÀ HƯỚNG DẪN THỰC HIỆN DANH MỤC THUỐC TÂN DƯỢC THUỘC PHẠM VI THANH TOÁN CỦA QUỸ BẢO HIỂM Y TẾ</w:t>
      </w:r>
    </w:p>
    <w:bookmarkEnd w:id="1"/>
    <w:p w:rsidR="005405D7" w:rsidRPr="005405D7" w:rsidRDefault="005405D7" w:rsidP="005405D7">
      <w:pPr>
        <w:autoSpaceDE w:val="0"/>
        <w:autoSpaceDN w:val="0"/>
        <w:adjustRightInd w:val="0"/>
        <w:spacing w:after="120"/>
        <w:jc w:val="both"/>
        <w:rPr>
          <w:rFonts w:eastAsia="Batang"/>
          <w:i/>
          <w:sz w:val="28"/>
          <w:szCs w:val="28"/>
          <w:lang w:val="es-ES_tradnl"/>
        </w:rPr>
      </w:pPr>
      <w:r w:rsidRPr="005405D7">
        <w:rPr>
          <w:i/>
          <w:sz w:val="28"/>
          <w:szCs w:val="28"/>
          <w:lang w:val="es-ES_tradnl"/>
        </w:rPr>
        <w:t xml:space="preserve">Căn cứ Luật Bảo hiểm y tế số 25/2008/QH12 ngày 14 tháng 11 năm 2008 và </w:t>
      </w:r>
      <w:r w:rsidRPr="005405D7">
        <w:rPr>
          <w:rFonts w:eastAsia="Batang"/>
          <w:i/>
          <w:sz w:val="28"/>
          <w:szCs w:val="28"/>
          <w:lang w:val="es-ES_tradnl"/>
        </w:rPr>
        <w:t>Luật sửa đổi, bổ sung một số điều của Luật Bảo hiểm y tế số 46/2014/QH13 ngày 13 tháng 6 năm 2014;</w:t>
      </w:r>
    </w:p>
    <w:p w:rsidR="005405D7" w:rsidRPr="005405D7" w:rsidRDefault="005405D7" w:rsidP="005405D7">
      <w:pPr>
        <w:autoSpaceDE w:val="0"/>
        <w:autoSpaceDN w:val="0"/>
        <w:adjustRightInd w:val="0"/>
        <w:spacing w:after="120"/>
        <w:jc w:val="both"/>
        <w:rPr>
          <w:rStyle w:val="st1"/>
          <w:bCs/>
          <w:i/>
          <w:spacing w:val="-4"/>
          <w:sz w:val="28"/>
          <w:szCs w:val="28"/>
          <w:lang w:val="es-ES_tradnl"/>
        </w:rPr>
      </w:pPr>
      <w:r w:rsidRPr="005405D7">
        <w:rPr>
          <w:rStyle w:val="st1"/>
          <w:bCs/>
          <w:i/>
          <w:spacing w:val="-4"/>
          <w:sz w:val="28"/>
          <w:szCs w:val="28"/>
          <w:lang w:val="es-ES_tradnl"/>
        </w:rPr>
        <w:t xml:space="preserve">Căn cứ </w:t>
      </w:r>
      <w:r w:rsidRPr="005405D7">
        <w:rPr>
          <w:rStyle w:val="st1"/>
          <w:bCs/>
          <w:i/>
          <w:spacing w:val="-4"/>
          <w:sz w:val="28"/>
          <w:szCs w:val="28"/>
          <w:lang w:val="vi-VN"/>
        </w:rPr>
        <w:t>Nghị định</w:t>
      </w:r>
      <w:r w:rsidRPr="005405D7">
        <w:rPr>
          <w:rStyle w:val="st1"/>
          <w:i/>
          <w:spacing w:val="-4"/>
          <w:sz w:val="28"/>
          <w:szCs w:val="28"/>
          <w:lang w:val="vi-VN"/>
        </w:rPr>
        <w:t xml:space="preserve"> số 63/2012/NĐ-CP </w:t>
      </w:r>
      <w:r w:rsidRPr="005405D7">
        <w:rPr>
          <w:rStyle w:val="st1"/>
          <w:i/>
          <w:spacing w:val="-4"/>
          <w:sz w:val="28"/>
          <w:szCs w:val="28"/>
          <w:lang w:val="es-ES_tradnl"/>
        </w:rPr>
        <w:t xml:space="preserve">ngày 31 tháng 8 năm 2012 </w:t>
      </w:r>
      <w:r w:rsidRPr="005405D7">
        <w:rPr>
          <w:rStyle w:val="st1"/>
          <w:bCs/>
          <w:i/>
          <w:spacing w:val="-4"/>
          <w:sz w:val="28"/>
          <w:szCs w:val="28"/>
          <w:lang w:val="vi-VN"/>
        </w:rPr>
        <w:t>của</w:t>
      </w:r>
      <w:r w:rsidRPr="005405D7">
        <w:rPr>
          <w:rStyle w:val="st1"/>
          <w:i/>
          <w:spacing w:val="-4"/>
          <w:sz w:val="28"/>
          <w:szCs w:val="28"/>
          <w:lang w:val="vi-VN"/>
        </w:rPr>
        <w:t xml:space="preserve"> Chính phủ </w:t>
      </w:r>
      <w:r w:rsidRPr="005405D7">
        <w:rPr>
          <w:rStyle w:val="st1"/>
          <w:bCs/>
          <w:i/>
          <w:spacing w:val="-4"/>
          <w:sz w:val="28"/>
          <w:szCs w:val="28"/>
          <w:lang w:val="es-ES_tradnl"/>
        </w:rPr>
        <w:t>q</w:t>
      </w:r>
      <w:r w:rsidRPr="005405D7">
        <w:rPr>
          <w:rStyle w:val="st1"/>
          <w:bCs/>
          <w:i/>
          <w:spacing w:val="-4"/>
          <w:sz w:val="28"/>
          <w:szCs w:val="28"/>
          <w:lang w:val="vi-VN"/>
        </w:rPr>
        <w:t>uy định</w:t>
      </w:r>
      <w:r w:rsidRPr="005405D7">
        <w:rPr>
          <w:rStyle w:val="st1"/>
          <w:i/>
          <w:spacing w:val="-4"/>
          <w:sz w:val="28"/>
          <w:szCs w:val="28"/>
          <w:lang w:val="vi-VN"/>
        </w:rPr>
        <w:t xml:space="preserve"> chức năng, nhiệm vụ, quyền hạn và </w:t>
      </w:r>
      <w:r w:rsidRPr="005405D7">
        <w:rPr>
          <w:rStyle w:val="st1"/>
          <w:bCs/>
          <w:i/>
          <w:spacing w:val="-4"/>
          <w:sz w:val="28"/>
          <w:szCs w:val="28"/>
          <w:lang w:val="vi-VN"/>
        </w:rPr>
        <w:t>cơ cấu tổ chức của Bộ Y tế</w:t>
      </w:r>
      <w:r w:rsidRPr="005405D7">
        <w:rPr>
          <w:rStyle w:val="st1"/>
          <w:bCs/>
          <w:i/>
          <w:spacing w:val="-4"/>
          <w:sz w:val="28"/>
          <w:szCs w:val="28"/>
          <w:lang w:val="es-ES_tradnl"/>
        </w:rPr>
        <w:t>;</w:t>
      </w:r>
    </w:p>
    <w:p w:rsidR="005405D7" w:rsidRPr="005405D7" w:rsidRDefault="005405D7" w:rsidP="005405D7">
      <w:pPr>
        <w:autoSpaceDE w:val="0"/>
        <w:autoSpaceDN w:val="0"/>
        <w:adjustRightInd w:val="0"/>
        <w:spacing w:after="120"/>
        <w:jc w:val="both"/>
        <w:rPr>
          <w:rStyle w:val="st1"/>
          <w:bCs/>
          <w:i/>
          <w:sz w:val="28"/>
          <w:szCs w:val="28"/>
          <w:lang w:val="es-ES_tradnl"/>
        </w:rPr>
      </w:pPr>
      <w:r w:rsidRPr="005405D7">
        <w:rPr>
          <w:i/>
          <w:sz w:val="28"/>
          <w:szCs w:val="28"/>
          <w:lang w:val="es-ES_tradnl"/>
        </w:rPr>
        <w:t>Căn cứ Nghị định số 105/2014/NĐ-CP ngày 15 tháng 11 năm 2014 của Chính phủ quy định chi tiết và hướng dẫn thi hành một số điều của Luật Bảo hiểm y tế;</w:t>
      </w:r>
    </w:p>
    <w:p w:rsidR="005405D7" w:rsidRPr="005405D7" w:rsidRDefault="005405D7" w:rsidP="005405D7">
      <w:pPr>
        <w:autoSpaceDE w:val="0"/>
        <w:autoSpaceDN w:val="0"/>
        <w:adjustRightInd w:val="0"/>
        <w:spacing w:after="120"/>
        <w:jc w:val="both"/>
        <w:rPr>
          <w:rFonts w:eastAsia="Batang"/>
          <w:i/>
          <w:sz w:val="28"/>
          <w:szCs w:val="28"/>
          <w:lang w:val="es-ES_tradnl"/>
        </w:rPr>
      </w:pPr>
      <w:r w:rsidRPr="005405D7">
        <w:rPr>
          <w:rFonts w:eastAsia="Batang"/>
          <w:i/>
          <w:sz w:val="28"/>
          <w:szCs w:val="28"/>
          <w:lang w:val="es-ES_tradnl"/>
        </w:rPr>
        <w:t>Bộ trưởng Bộ Y tế ban hành Thông tư ban hành và hướng dẫn thực hiện danh mục thuốc tân dược thuộc phạm vi thanh toán của quỹ bảo hiểm y tế.</w:t>
      </w:r>
    </w:p>
    <w:p w:rsidR="005405D7" w:rsidRPr="005405D7" w:rsidRDefault="005405D7" w:rsidP="005405D7">
      <w:pPr>
        <w:autoSpaceDE w:val="0"/>
        <w:autoSpaceDN w:val="0"/>
        <w:adjustRightInd w:val="0"/>
        <w:spacing w:after="120"/>
        <w:jc w:val="both"/>
        <w:rPr>
          <w:b/>
          <w:bCs/>
          <w:sz w:val="28"/>
          <w:szCs w:val="28"/>
          <w:lang w:val="es-ES_tradnl"/>
        </w:rPr>
      </w:pPr>
      <w:bookmarkStart w:id="2" w:name="dieu_1"/>
      <w:r w:rsidRPr="005405D7">
        <w:rPr>
          <w:b/>
          <w:bCs/>
          <w:sz w:val="28"/>
          <w:szCs w:val="28"/>
          <w:lang w:val="es-ES_tradnl"/>
        </w:rPr>
        <w:t>Điều 1. Danh mục thuốc tân dược</w:t>
      </w:r>
    </w:p>
    <w:bookmarkEnd w:id="2"/>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1. Ban hành kèm theo Thông tư này danh mục thuốc tân dược thuộc phạm vi thanh toán của quỹ bảo hiểm y tế gồm: 845 hoạt chất, 1064 thuốc tân dược; 57 thuốc phóng xạ và hợp chất đánh dấu.</w:t>
      </w:r>
    </w:p>
    <w:p w:rsidR="005405D7" w:rsidRPr="005405D7" w:rsidRDefault="005405D7" w:rsidP="005405D7">
      <w:pPr>
        <w:spacing w:after="120"/>
        <w:jc w:val="both"/>
        <w:rPr>
          <w:rFonts w:eastAsia="Batang"/>
          <w:sz w:val="28"/>
          <w:szCs w:val="28"/>
          <w:lang w:val="es-ES_tradnl"/>
        </w:rPr>
      </w:pPr>
      <w:r w:rsidRPr="005405D7">
        <w:rPr>
          <w:rFonts w:eastAsia="Batang"/>
          <w:sz w:val="28"/>
          <w:szCs w:val="28"/>
          <w:lang w:val="es-ES_tradnl"/>
        </w:rPr>
        <w:t>2. Danh mục thuốc tân dược ban hành kèm theo Thông tư này là cơ sở để quỹ bảo hiểm y tế thanh toán chi phí thuốc sử dụng cho người bệnh có thẻ bảo hiểm y tế tại các cơ sở khám bệnh, chữa bệnh.</w:t>
      </w:r>
    </w:p>
    <w:p w:rsidR="005405D7" w:rsidRPr="005405D7" w:rsidRDefault="005405D7" w:rsidP="005405D7">
      <w:pPr>
        <w:autoSpaceDE w:val="0"/>
        <w:autoSpaceDN w:val="0"/>
        <w:adjustRightInd w:val="0"/>
        <w:spacing w:after="120"/>
        <w:jc w:val="both"/>
        <w:rPr>
          <w:sz w:val="28"/>
          <w:szCs w:val="28"/>
          <w:lang w:val="es-ES_tradnl"/>
        </w:rPr>
      </w:pPr>
      <w:bookmarkStart w:id="3" w:name="dieu_2"/>
      <w:r w:rsidRPr="005405D7">
        <w:rPr>
          <w:b/>
          <w:bCs/>
          <w:sz w:val="28"/>
          <w:szCs w:val="28"/>
          <w:lang w:val="es-ES_tradnl"/>
        </w:rPr>
        <w:t>Điều 2. Cấu trúc danh mục thuốc và phân hạng sử dụng</w:t>
      </w:r>
    </w:p>
    <w:bookmarkEnd w:id="3"/>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1. Danh mục thuốc tân dược:</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a) Các thuốc hay hoạt chất được sắp xếp theo 27 nhóm lớn, theo mã ATC (giải phẫu, điều trị, hóa học). Một số thuốc hay hoạt chất có nhiều mã ATC, nhiều chỉ định khác nhau được xếp vào một nhóm phù hợp nhất để hạn chế sự trùng lặp;</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b) Tên thuốc hay hoạt chất được ghi theo tên chung quốc tế và theo quy định của Dược thư quốc gia Việt Nam, chỉ ghi đường dùng, dạng dùng, không ghi hàm lượng.</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2. Đường dùng thuốc ghi trong danh mục được thống nhất như sau:</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a) Đường uống bao gồm các thuốc uống, ngậm, nhai, đặt dưới lưỡi;</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b) Đường tiêm bao gồm các thuốc tiêm bắp, tiêm dưới da, tiêm trong da, tiêm tĩnh mạch, tiêm truyền tĩnh mạch, tiêm vào ổ khớp, tiêm nội nhãn cầu, tiêm trong dịch kính của mắt, tiêm vào các khoang của cơ thể;</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c) Đường dùng ngoài bao gồm các thuốc bôi, xoa ngoài, dán trên da, xịt ngoài da;</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d) Đường đặt bao gồm các thuốc đặt âm đạo, đặt hậu môn, thụt hậu môn-trực tràng;</w:t>
      </w:r>
    </w:p>
    <w:p w:rsidR="005405D7" w:rsidRPr="005405D7" w:rsidRDefault="005405D7" w:rsidP="005405D7">
      <w:pPr>
        <w:autoSpaceDE w:val="0"/>
        <w:autoSpaceDN w:val="0"/>
        <w:adjustRightInd w:val="0"/>
        <w:spacing w:after="120"/>
        <w:jc w:val="both"/>
        <w:rPr>
          <w:spacing w:val="-6"/>
          <w:sz w:val="28"/>
          <w:szCs w:val="28"/>
          <w:lang w:val="es-ES_tradnl"/>
        </w:rPr>
      </w:pPr>
      <w:r w:rsidRPr="005405D7">
        <w:rPr>
          <w:spacing w:val="-6"/>
          <w:sz w:val="28"/>
          <w:szCs w:val="28"/>
          <w:lang w:val="es-ES_tradnl"/>
        </w:rPr>
        <w:lastRenderedPageBreak/>
        <w:t>đ) Đường hô hấp bao gồm các thuốc phun mù, dạng hít, bột hít, xịt, khí dung;</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e) Đường nhỏ mắt bao gồm các thuốc nhỏ mắt, tra mắt.</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3. Thuốc, hoạt chất trong danh mục thuốc tân dược được sử dụng tại các cơ sở khám bệnh, chữa bệnh theo phân hạng bệnh viện, cụ thể như sau:</w:t>
      </w:r>
    </w:p>
    <w:p w:rsidR="005405D7" w:rsidRPr="005405D7" w:rsidRDefault="005405D7" w:rsidP="005405D7">
      <w:pPr>
        <w:autoSpaceDE w:val="0"/>
        <w:autoSpaceDN w:val="0"/>
        <w:adjustRightInd w:val="0"/>
        <w:spacing w:after="120"/>
        <w:jc w:val="both"/>
        <w:rPr>
          <w:sz w:val="28"/>
          <w:szCs w:val="28"/>
          <w:lang w:val="nb-NO"/>
        </w:rPr>
      </w:pPr>
      <w:r w:rsidRPr="005405D7">
        <w:rPr>
          <w:sz w:val="28"/>
          <w:szCs w:val="28"/>
          <w:lang w:val="pt-BR"/>
        </w:rPr>
        <w:t xml:space="preserve">a) </w:t>
      </w:r>
      <w:r w:rsidRPr="005405D7">
        <w:rPr>
          <w:sz w:val="28"/>
          <w:szCs w:val="28"/>
          <w:lang w:val="es-ES_tradnl"/>
        </w:rPr>
        <w:t>Bệnh viện</w:t>
      </w:r>
      <w:r w:rsidRPr="005405D7">
        <w:rPr>
          <w:sz w:val="28"/>
          <w:szCs w:val="28"/>
          <w:lang w:val="nb-NO"/>
        </w:rPr>
        <w:t xml:space="preserve"> hạng đặc biệt và hạng I </w:t>
      </w:r>
      <w:r w:rsidRPr="005405D7">
        <w:rPr>
          <w:sz w:val="28"/>
          <w:szCs w:val="28"/>
          <w:lang w:val="es-ES_tradnl"/>
        </w:rPr>
        <w:t>sử dụng các thuốc quy định tại cột 5;</w:t>
      </w:r>
    </w:p>
    <w:p w:rsidR="005405D7" w:rsidRPr="005405D7" w:rsidRDefault="005405D7" w:rsidP="005405D7">
      <w:pPr>
        <w:spacing w:after="120"/>
        <w:jc w:val="both"/>
        <w:rPr>
          <w:sz w:val="28"/>
          <w:szCs w:val="28"/>
          <w:lang w:val="nb-NO"/>
        </w:rPr>
      </w:pPr>
      <w:r w:rsidRPr="005405D7">
        <w:rPr>
          <w:sz w:val="28"/>
          <w:szCs w:val="28"/>
          <w:lang w:val="nb-NO"/>
        </w:rPr>
        <w:t xml:space="preserve">b) </w:t>
      </w:r>
      <w:r w:rsidRPr="005405D7">
        <w:rPr>
          <w:sz w:val="28"/>
          <w:szCs w:val="28"/>
          <w:lang w:val="es-ES_tradnl"/>
        </w:rPr>
        <w:t>Bệnh viện</w:t>
      </w:r>
      <w:r w:rsidRPr="005405D7">
        <w:rPr>
          <w:sz w:val="28"/>
          <w:szCs w:val="28"/>
          <w:lang w:val="nb-NO"/>
        </w:rPr>
        <w:t xml:space="preserve"> hạng II</w:t>
      </w:r>
      <w:r w:rsidRPr="005405D7">
        <w:rPr>
          <w:sz w:val="28"/>
          <w:szCs w:val="28"/>
          <w:lang w:val="es-ES_tradnl"/>
        </w:rPr>
        <w:t xml:space="preserve"> sử dụng các thuốc quy định tại cột 6;</w:t>
      </w:r>
    </w:p>
    <w:p w:rsidR="005405D7" w:rsidRPr="005405D7" w:rsidRDefault="005405D7" w:rsidP="005405D7">
      <w:pPr>
        <w:spacing w:after="120"/>
        <w:jc w:val="both"/>
        <w:rPr>
          <w:sz w:val="28"/>
          <w:szCs w:val="28"/>
          <w:lang w:val="pt-BR"/>
        </w:rPr>
      </w:pPr>
      <w:r w:rsidRPr="005405D7">
        <w:rPr>
          <w:sz w:val="28"/>
          <w:szCs w:val="28"/>
          <w:lang w:val="nb-NO"/>
        </w:rPr>
        <w:t xml:space="preserve">c) </w:t>
      </w:r>
      <w:r w:rsidRPr="005405D7">
        <w:rPr>
          <w:sz w:val="28"/>
          <w:szCs w:val="28"/>
          <w:lang w:val="es-ES_tradnl"/>
        </w:rPr>
        <w:t>Bệnh</w:t>
      </w:r>
      <w:r w:rsidRPr="005405D7">
        <w:rPr>
          <w:sz w:val="28"/>
          <w:szCs w:val="28"/>
          <w:lang w:val="pt-BR"/>
        </w:rPr>
        <w:t xml:space="preserve"> viện hạng III và hạng IV, bao gồm cả phòng khám đa khoa thuộc bệnh viện đa khoa hoặc trung tâm y tế quận, huyện, thị xã, thành phố </w:t>
      </w:r>
      <w:r w:rsidRPr="005405D7">
        <w:rPr>
          <w:sz w:val="28"/>
          <w:szCs w:val="28"/>
          <w:lang w:val="es-ES_tradnl"/>
        </w:rPr>
        <w:t>sử dụng các thuốc quy định tại cột 7;</w:t>
      </w:r>
    </w:p>
    <w:p w:rsidR="005405D7" w:rsidRPr="005405D7" w:rsidRDefault="005405D7" w:rsidP="005405D7">
      <w:pPr>
        <w:spacing w:after="120"/>
        <w:jc w:val="both"/>
        <w:rPr>
          <w:sz w:val="28"/>
          <w:szCs w:val="28"/>
          <w:lang w:val="es-ES_tradnl"/>
        </w:rPr>
      </w:pPr>
      <w:r w:rsidRPr="005405D7">
        <w:rPr>
          <w:sz w:val="28"/>
          <w:szCs w:val="28"/>
          <w:lang w:val="nb-NO"/>
        </w:rPr>
        <w:t xml:space="preserve">d) </w:t>
      </w:r>
      <w:r w:rsidRPr="005405D7">
        <w:rPr>
          <w:sz w:val="28"/>
          <w:szCs w:val="28"/>
          <w:lang w:val="es-ES_tradnl"/>
        </w:rPr>
        <w:t>Cơ sở khám bệnh, chữa bệnh là trạm y tế xã, phường, thị trấn và tương đương sử dụng các thuốc quy định tại cột 8;</w:t>
      </w:r>
    </w:p>
    <w:p w:rsidR="005405D7" w:rsidRPr="005405D7" w:rsidRDefault="005405D7" w:rsidP="005405D7">
      <w:pPr>
        <w:spacing w:after="120"/>
        <w:jc w:val="both"/>
        <w:rPr>
          <w:sz w:val="28"/>
          <w:szCs w:val="28"/>
          <w:lang w:val="nb-NO"/>
        </w:rPr>
      </w:pPr>
      <w:r w:rsidRPr="005405D7">
        <w:rPr>
          <w:sz w:val="28"/>
          <w:szCs w:val="28"/>
          <w:lang w:val="nb-NO"/>
        </w:rPr>
        <w:t>đ) Đối với cơ sở khám bệnh, chữa bệnh có ký hợp đồng khám bệnh, chữa bệnh bảo hiểm y tế nhưng chưa được phân hạng bệnh viện: Căn cứ năng lực chuyên môn, trang thiết bị y tế và danh mục dịch vụ kỹ thuật đã được cấp có thẩm quyền phê duyệt, Sở Y tế chủ trì, phối hợp với tổ chức bảo hiểm xã hội để thống nhất, quyết định việc sử dụng thuốc của cơ sở khám bệnh, chữa bệnh này theo hạng bệnh viện phù hợp trên cơ sở tương đương với cơ sở khám bệnh, chữa bệnh nhà nước.</w:t>
      </w:r>
    </w:p>
    <w:p w:rsidR="005405D7" w:rsidRPr="005405D7" w:rsidRDefault="005405D7" w:rsidP="005405D7">
      <w:pPr>
        <w:autoSpaceDE w:val="0"/>
        <w:autoSpaceDN w:val="0"/>
        <w:adjustRightInd w:val="0"/>
        <w:spacing w:after="120"/>
        <w:jc w:val="both"/>
        <w:rPr>
          <w:spacing w:val="-2"/>
          <w:sz w:val="28"/>
          <w:szCs w:val="28"/>
          <w:lang w:val="es-ES_tradnl"/>
        </w:rPr>
      </w:pPr>
      <w:r w:rsidRPr="005405D7">
        <w:rPr>
          <w:spacing w:val="-2"/>
          <w:sz w:val="28"/>
          <w:szCs w:val="28"/>
          <w:lang w:val="es-ES_tradnl"/>
        </w:rPr>
        <w:t xml:space="preserve">4. Danh mục thuốc phóng xạ và hợp chất đánh dấu được ghi theo tên chung quốc tế, không theo phân hạng bệnh viện và chỉ được sử dụng tại các cơ sở y học hạt nhân, </w:t>
      </w:r>
      <w:r w:rsidRPr="005405D7">
        <w:rPr>
          <w:spacing w:val="-2"/>
          <w:sz w:val="28"/>
          <w:szCs w:val="28"/>
          <w:lang w:val="es-ES"/>
        </w:rPr>
        <w:t>bệnh viện ung bướu, trung tâm ung bướu, các</w:t>
      </w:r>
      <w:r w:rsidRPr="005405D7">
        <w:rPr>
          <w:i/>
          <w:spacing w:val="-2"/>
          <w:sz w:val="28"/>
          <w:szCs w:val="28"/>
          <w:lang w:val="es-ES"/>
        </w:rPr>
        <w:t xml:space="preserve"> </w:t>
      </w:r>
      <w:r w:rsidRPr="005405D7">
        <w:rPr>
          <w:spacing w:val="-2"/>
          <w:sz w:val="28"/>
          <w:szCs w:val="28"/>
          <w:lang w:val="es-ES"/>
        </w:rPr>
        <w:t>khoa y học hạt nhân, khoa ung bướu hoặc xạ trị trong các bệnh viện đa khoa hay chuyên khoa khác.</w:t>
      </w:r>
    </w:p>
    <w:p w:rsidR="005405D7" w:rsidRPr="005405D7" w:rsidRDefault="005405D7" w:rsidP="005405D7">
      <w:pPr>
        <w:autoSpaceDE w:val="0"/>
        <w:autoSpaceDN w:val="0"/>
        <w:adjustRightInd w:val="0"/>
        <w:spacing w:after="120"/>
        <w:jc w:val="both"/>
        <w:rPr>
          <w:b/>
          <w:bCs/>
          <w:sz w:val="28"/>
          <w:szCs w:val="28"/>
          <w:lang w:val="es-ES_tradnl"/>
        </w:rPr>
      </w:pPr>
      <w:bookmarkStart w:id="4" w:name="dieu_3"/>
      <w:r w:rsidRPr="005405D7">
        <w:rPr>
          <w:b/>
          <w:bCs/>
          <w:sz w:val="28"/>
          <w:szCs w:val="28"/>
          <w:lang w:val="es-ES_tradnl"/>
        </w:rPr>
        <w:t>Điều 3. Xây dựng danh mục thuốc thuộc phạm vi thanh toán của quỹ bảo hiểm y tế sử dụng tại cơ sở khám bệnh, chữa bệnh</w:t>
      </w:r>
    </w:p>
    <w:bookmarkEnd w:id="4"/>
    <w:p w:rsidR="005405D7" w:rsidRPr="005405D7" w:rsidRDefault="005405D7" w:rsidP="005405D7">
      <w:pPr>
        <w:autoSpaceDE w:val="0"/>
        <w:autoSpaceDN w:val="0"/>
        <w:adjustRightInd w:val="0"/>
        <w:spacing w:after="120"/>
        <w:jc w:val="both"/>
        <w:rPr>
          <w:spacing w:val="-2"/>
          <w:sz w:val="28"/>
          <w:szCs w:val="28"/>
          <w:lang w:val="es-ES_tradnl"/>
        </w:rPr>
      </w:pPr>
      <w:r w:rsidRPr="005405D7">
        <w:rPr>
          <w:spacing w:val="-2"/>
          <w:sz w:val="28"/>
          <w:szCs w:val="28"/>
          <w:lang w:val="es-ES_tradnl"/>
        </w:rPr>
        <w:t>1. Căn cứ danh mục thuốc và phân hạng bệnh viện sử dụng quy định tại Thông tư này; căn cứ hạng bệnh viện được cơ quan có thẩm quyền phê duyệt; nhu cầu điều trị và khả năng chi trả của quỹ bảo hiểm y tế, cơ sở khám bệnh, chữa bệnh xây dựng danh mục thuốc sử dụng tại đơn vị để mua sắm theo quy định của pháp luật về đấu thầu.</w:t>
      </w:r>
    </w:p>
    <w:p w:rsidR="005405D7" w:rsidRPr="005405D7" w:rsidRDefault="005405D7" w:rsidP="005405D7">
      <w:pPr>
        <w:autoSpaceDE w:val="0"/>
        <w:autoSpaceDN w:val="0"/>
        <w:adjustRightInd w:val="0"/>
        <w:spacing w:after="120"/>
        <w:jc w:val="both"/>
        <w:rPr>
          <w:spacing w:val="-2"/>
          <w:sz w:val="28"/>
          <w:szCs w:val="28"/>
          <w:lang w:val="es-ES_tradnl"/>
        </w:rPr>
      </w:pPr>
      <w:r w:rsidRPr="005405D7">
        <w:rPr>
          <w:spacing w:val="-2"/>
          <w:sz w:val="28"/>
          <w:szCs w:val="28"/>
          <w:lang w:val="es-ES_tradnl"/>
        </w:rPr>
        <w:t>2. Việc lựa chọn thuốc thành phẩm để mua sắm, sử dụng cho người bệnh theo nguyên tắc: ưu tiên lựa chọn thuốc generic, thuốc đơn chất, thuốc sản xuất trong nước.</w:t>
      </w:r>
    </w:p>
    <w:p w:rsidR="005405D7" w:rsidRPr="005405D7" w:rsidRDefault="005405D7" w:rsidP="005405D7">
      <w:pPr>
        <w:autoSpaceDE w:val="0"/>
        <w:autoSpaceDN w:val="0"/>
        <w:adjustRightInd w:val="0"/>
        <w:spacing w:after="120"/>
        <w:jc w:val="both"/>
        <w:rPr>
          <w:sz w:val="28"/>
          <w:szCs w:val="28"/>
          <w:lang w:val="es-ES_tradnl"/>
        </w:rPr>
      </w:pPr>
      <w:bookmarkStart w:id="5" w:name="dieu_4"/>
      <w:r w:rsidRPr="005405D7">
        <w:rPr>
          <w:b/>
          <w:bCs/>
          <w:sz w:val="28"/>
          <w:szCs w:val="28"/>
          <w:lang w:val="es-ES_tradnl"/>
        </w:rPr>
        <w:t>Điều 4. Nguyên tắc chung về thanh toán chi phí thuốc đối với người bệnh có thẻ bảo hiểm y tế</w:t>
      </w:r>
    </w:p>
    <w:bookmarkEnd w:id="5"/>
    <w:p w:rsidR="005405D7" w:rsidRPr="005405D7" w:rsidRDefault="005405D7" w:rsidP="005405D7">
      <w:pPr>
        <w:tabs>
          <w:tab w:val="left" w:pos="0"/>
        </w:tabs>
        <w:spacing w:after="120"/>
        <w:jc w:val="both"/>
        <w:rPr>
          <w:sz w:val="28"/>
          <w:szCs w:val="28"/>
          <w:lang w:val="es-ES_tradnl"/>
        </w:rPr>
      </w:pPr>
      <w:r w:rsidRPr="005405D7">
        <w:rPr>
          <w:rFonts w:eastAsia="Batang"/>
          <w:sz w:val="28"/>
          <w:szCs w:val="28"/>
          <w:lang w:val="es-ES_tradnl"/>
        </w:rPr>
        <w:t xml:space="preserve">1. </w:t>
      </w:r>
      <w:r w:rsidRPr="005405D7">
        <w:rPr>
          <w:sz w:val="28"/>
          <w:szCs w:val="28"/>
          <w:lang w:val="es-ES_tradnl"/>
        </w:rPr>
        <w:t xml:space="preserve">Quỹ bảo hiểm y tế thanh toán chi phí thuốc theo số lượng thực tế sử dụng cho người bệnh và giá </w:t>
      </w:r>
      <w:r w:rsidRPr="005405D7">
        <w:rPr>
          <w:rFonts w:eastAsia="Batang"/>
          <w:sz w:val="28"/>
          <w:szCs w:val="28"/>
          <w:lang w:val="es-ES_tradnl"/>
        </w:rPr>
        <w:t xml:space="preserve">mua vào của cơ sở khám bệnh, chữa bệnh theo quy định của pháp luật về đấu thầu mua thuốc, phù hợp với </w:t>
      </w:r>
      <w:r w:rsidRPr="005405D7">
        <w:rPr>
          <w:sz w:val="28"/>
          <w:szCs w:val="28"/>
          <w:lang w:val="es-ES_tradnl"/>
        </w:rPr>
        <w:t>phạm vi quyền lợi và mức hưởng theo quy định của Luật Bảo hiểm y tế, Luật sửa đổi, bổ sung một số điều của Luật Bảo hiểm y tế và các văn bản hướng dẫn thực hiện.</w:t>
      </w:r>
    </w:p>
    <w:p w:rsidR="005405D7" w:rsidRPr="005405D7" w:rsidRDefault="005405D7" w:rsidP="005405D7">
      <w:pPr>
        <w:tabs>
          <w:tab w:val="left" w:pos="0"/>
        </w:tabs>
        <w:spacing w:after="120"/>
        <w:jc w:val="both"/>
        <w:rPr>
          <w:sz w:val="28"/>
          <w:szCs w:val="28"/>
          <w:lang w:val="es-ES_tradnl"/>
        </w:rPr>
      </w:pPr>
      <w:r w:rsidRPr="005405D7">
        <w:rPr>
          <w:sz w:val="28"/>
          <w:szCs w:val="28"/>
          <w:lang w:val="es-ES_tradnl"/>
        </w:rPr>
        <w:t>2. Quỹ bảo hiểm y tế không thanh toán đối với các trường hợp:</w:t>
      </w:r>
    </w:p>
    <w:p w:rsidR="005405D7" w:rsidRPr="005405D7" w:rsidRDefault="005405D7" w:rsidP="005405D7">
      <w:pPr>
        <w:tabs>
          <w:tab w:val="left" w:pos="0"/>
        </w:tabs>
        <w:spacing w:after="120"/>
        <w:jc w:val="both"/>
        <w:rPr>
          <w:sz w:val="28"/>
          <w:szCs w:val="28"/>
          <w:lang w:val="es-ES_tradnl"/>
        </w:rPr>
      </w:pPr>
      <w:r w:rsidRPr="005405D7">
        <w:rPr>
          <w:sz w:val="28"/>
          <w:szCs w:val="28"/>
          <w:lang w:val="es-ES_tradnl"/>
        </w:rPr>
        <w:t>a) Chi phí các thuốc đã được kết cấu vào giá của dịch vụ kỹ thuật, giá ngày giường điều trị (ví dụ: các thuốc gây tê, gây mê, dịch truyền sử dụng trong phẫu thuật, thủ thuật hay thuốc cản quang dùng trong chẩn đoán hình ảnh, các thuốc tẩy trùng và sát khuẩn) hoặc giá thu trọn gói theo ca bệnh theo quy định hiện hành;</w:t>
      </w:r>
    </w:p>
    <w:p w:rsidR="005405D7" w:rsidRPr="005405D7" w:rsidRDefault="005405D7" w:rsidP="005405D7">
      <w:pPr>
        <w:tabs>
          <w:tab w:val="left" w:pos="0"/>
        </w:tabs>
        <w:spacing w:after="120"/>
        <w:jc w:val="both"/>
        <w:rPr>
          <w:spacing w:val="-2"/>
          <w:sz w:val="28"/>
          <w:szCs w:val="28"/>
          <w:lang w:val="es-ES_tradnl"/>
        </w:rPr>
      </w:pPr>
      <w:r w:rsidRPr="005405D7">
        <w:rPr>
          <w:spacing w:val="-2"/>
          <w:sz w:val="28"/>
          <w:szCs w:val="28"/>
          <w:lang w:val="es-ES_tradnl"/>
        </w:rPr>
        <w:t>b) Phần chi phí của các thuốc có trong danh mục đã được ngân sách nhà nước chi trả;</w:t>
      </w:r>
    </w:p>
    <w:p w:rsidR="005405D7" w:rsidRPr="005405D7" w:rsidRDefault="005405D7" w:rsidP="005405D7">
      <w:pPr>
        <w:tabs>
          <w:tab w:val="left" w:pos="0"/>
        </w:tabs>
        <w:spacing w:after="120"/>
        <w:jc w:val="both"/>
        <w:rPr>
          <w:spacing w:val="-2"/>
          <w:sz w:val="28"/>
          <w:szCs w:val="28"/>
          <w:lang w:val="es-ES_tradnl"/>
        </w:rPr>
      </w:pPr>
      <w:r w:rsidRPr="005405D7">
        <w:rPr>
          <w:spacing w:val="-2"/>
          <w:sz w:val="28"/>
          <w:szCs w:val="28"/>
          <w:lang w:val="es-ES_tradnl"/>
        </w:rPr>
        <w:t>c) Thuốc có trong danh mục sử dụng trong thử nghiệm lâm sàng, nghiên cứu khoa học;</w:t>
      </w:r>
    </w:p>
    <w:p w:rsidR="005405D7" w:rsidRPr="005405D7" w:rsidRDefault="005405D7" w:rsidP="005405D7">
      <w:pPr>
        <w:autoSpaceDE w:val="0"/>
        <w:autoSpaceDN w:val="0"/>
        <w:adjustRightInd w:val="0"/>
        <w:spacing w:after="120"/>
        <w:jc w:val="both"/>
        <w:rPr>
          <w:spacing w:val="-2"/>
          <w:sz w:val="28"/>
          <w:szCs w:val="28"/>
          <w:lang w:val="es-ES_tradnl"/>
        </w:rPr>
      </w:pPr>
      <w:r w:rsidRPr="005405D7">
        <w:rPr>
          <w:spacing w:val="-2"/>
          <w:sz w:val="28"/>
          <w:szCs w:val="28"/>
          <w:lang w:val="es-ES_tradnl"/>
        </w:rPr>
        <w:t>d) Các thuốc, lô thuốc đã có quyết định đình chỉ lưu hành và thu hồi của cơ quan có thẩm quyền;</w:t>
      </w:r>
    </w:p>
    <w:p w:rsidR="005405D7" w:rsidRPr="005405D7" w:rsidRDefault="005405D7" w:rsidP="005405D7">
      <w:pPr>
        <w:autoSpaceDE w:val="0"/>
        <w:autoSpaceDN w:val="0"/>
        <w:adjustRightInd w:val="0"/>
        <w:spacing w:after="120"/>
        <w:jc w:val="both"/>
        <w:rPr>
          <w:spacing w:val="-2"/>
          <w:sz w:val="28"/>
          <w:szCs w:val="28"/>
          <w:lang w:val="es-ES_tradnl"/>
        </w:rPr>
      </w:pPr>
      <w:r w:rsidRPr="005405D7">
        <w:rPr>
          <w:spacing w:val="-2"/>
          <w:sz w:val="28"/>
          <w:szCs w:val="28"/>
          <w:lang w:val="es-ES_tradnl"/>
        </w:rPr>
        <w:t>đ) Sử dụng thuốc không phù hợp với chỉ định đã đăng ký trong hồ sơ đăng ký thuốc đã được phê duyệt.</w:t>
      </w:r>
    </w:p>
    <w:p w:rsidR="005405D7" w:rsidRPr="005405D7" w:rsidRDefault="005405D7" w:rsidP="005405D7">
      <w:pPr>
        <w:autoSpaceDE w:val="0"/>
        <w:autoSpaceDN w:val="0"/>
        <w:adjustRightInd w:val="0"/>
        <w:spacing w:after="120"/>
        <w:jc w:val="both"/>
        <w:rPr>
          <w:b/>
          <w:bCs/>
          <w:sz w:val="28"/>
          <w:szCs w:val="28"/>
          <w:lang w:val="es-ES_tradnl"/>
        </w:rPr>
      </w:pPr>
      <w:bookmarkStart w:id="6" w:name="dieu_5"/>
      <w:r w:rsidRPr="005405D7">
        <w:rPr>
          <w:b/>
          <w:bCs/>
          <w:sz w:val="28"/>
          <w:szCs w:val="28"/>
          <w:lang w:val="es-ES_tradnl"/>
        </w:rPr>
        <w:t>Điều 5. Quy định thanh toán đối với một số loại thuốc</w:t>
      </w:r>
    </w:p>
    <w:bookmarkEnd w:id="6"/>
    <w:p w:rsidR="005405D7" w:rsidRPr="005405D7" w:rsidRDefault="005405D7" w:rsidP="005405D7">
      <w:pPr>
        <w:autoSpaceDE w:val="0"/>
        <w:autoSpaceDN w:val="0"/>
        <w:adjustRightInd w:val="0"/>
        <w:spacing w:after="120"/>
        <w:jc w:val="both"/>
        <w:rPr>
          <w:spacing w:val="-2"/>
          <w:sz w:val="28"/>
          <w:szCs w:val="28"/>
          <w:lang w:val="es-ES_tradnl"/>
        </w:rPr>
      </w:pPr>
      <w:r w:rsidRPr="005405D7">
        <w:rPr>
          <w:spacing w:val="-2"/>
          <w:sz w:val="28"/>
          <w:szCs w:val="28"/>
          <w:lang w:val="es-ES_tradnl"/>
        </w:rPr>
        <w:t>1. Các dạng đồng phân hóa học khác hoặc các dạng muối khác của hoạt chất có trong danh mục thuốc đều được quỹ bảo hiểm y tế thanh toán nếu có cùng tác dụng điều trị với dạng hóa học hay tên thuốc ghi trong danh mục thuốc.</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2. Thuốc được xếp nhóm này dùng điều trị bệnh thuộc nhóm khác được quỹ bảo hiểm y tế thanh toán nếu có chỉ định như đã đăng ký trong hồ sơ đăng ký thuốc đã được phê duyệt.</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3. Một số thuốc có quy định điều kiện, tỷ lệ thanh toán được quỹ bảo hiểm y tế thanh toán theo quy định tại cột 9 của danh mục thuốc tân dược và theo nguyên tắc chung quy định tại Khoản 1 Điều 4 Thông tư này.</w:t>
      </w:r>
    </w:p>
    <w:p w:rsidR="005405D7" w:rsidRPr="005405D7" w:rsidRDefault="005405D7" w:rsidP="005405D7">
      <w:pPr>
        <w:autoSpaceDE w:val="0"/>
        <w:autoSpaceDN w:val="0"/>
        <w:adjustRightInd w:val="0"/>
        <w:spacing w:after="120"/>
        <w:jc w:val="both"/>
        <w:rPr>
          <w:sz w:val="28"/>
          <w:szCs w:val="28"/>
          <w:lang w:val="es-ES_tradnl"/>
        </w:rPr>
      </w:pPr>
      <w:r w:rsidRPr="005405D7">
        <w:rPr>
          <w:sz w:val="28"/>
          <w:szCs w:val="28"/>
          <w:lang w:val="es-ES_tradnl"/>
        </w:rPr>
        <w:t>4. Thuốc có phối hợp nhiều hoạt chất mà sự phối hợp này chưa được quy định trong danh mục thì được quỹ bảo hiểm y tế thanh toán nếu các hoạt chất đều có trong danh mục dưới dạng đơn chất (trừ vitamin và khoáng chất) và có cùng đường dùng như quy định tại Khoản 2 Điều 2 Thông tư này. Thuốc phối hợp được lựa chọn phải bảo đảm nguyên tắc sử dụng an toàn, hiệu quả và phù hợp với khả năng chi trả của quỹ bảo hiểm y tế.</w:t>
      </w:r>
    </w:p>
    <w:p w:rsidR="005405D7" w:rsidRPr="005405D7" w:rsidRDefault="005405D7" w:rsidP="005405D7">
      <w:pPr>
        <w:autoSpaceDE w:val="0"/>
        <w:autoSpaceDN w:val="0"/>
        <w:adjustRightInd w:val="0"/>
        <w:spacing w:after="120"/>
        <w:jc w:val="both"/>
        <w:rPr>
          <w:spacing w:val="-2"/>
          <w:sz w:val="28"/>
          <w:szCs w:val="28"/>
          <w:lang w:val="es-ES_tradnl"/>
        </w:rPr>
      </w:pPr>
      <w:r w:rsidRPr="005405D7">
        <w:rPr>
          <w:spacing w:val="-2"/>
          <w:sz w:val="28"/>
          <w:szCs w:val="28"/>
          <w:lang w:val="es-ES_tradnl"/>
        </w:rPr>
        <w:t xml:space="preserve">Trường hợp thuốc phối hợp nhiều hoạt chất mà các hoạt chất có hạng bệnh viện sử dụng khác nhau thì thanh toán theo hoạt chất được sử dụng ở hạng bệnh viện cao nhất. </w:t>
      </w:r>
      <w:r w:rsidRPr="005405D7">
        <w:rPr>
          <w:spacing w:val="-2"/>
          <w:sz w:val="28"/>
          <w:szCs w:val="28"/>
          <w:lang w:val="pt-BR"/>
        </w:rPr>
        <w:t>Trường hợp thuốc phối hợp nhiều hoạt chất có tỷ lệ thanh toán khác nhau thì thanh toán theo tỷ lệ của hoạt chất có tỷ lệ thanh toán thấp nhất.</w:t>
      </w:r>
    </w:p>
    <w:p w:rsidR="005405D7" w:rsidRPr="005405D7" w:rsidRDefault="005405D7" w:rsidP="005405D7">
      <w:pPr>
        <w:autoSpaceDE w:val="0"/>
        <w:autoSpaceDN w:val="0"/>
        <w:adjustRightInd w:val="0"/>
        <w:spacing w:after="120"/>
        <w:jc w:val="both"/>
        <w:rPr>
          <w:sz w:val="28"/>
          <w:szCs w:val="28"/>
          <w:lang w:val="pt-BR"/>
        </w:rPr>
      </w:pPr>
      <w:r w:rsidRPr="005405D7">
        <w:rPr>
          <w:sz w:val="28"/>
          <w:szCs w:val="28"/>
          <w:lang w:val="pt-BR"/>
        </w:rPr>
        <w:t>5. Trường hợp theo chỉ định chuyên môn, người bệnh chỉ sử dụng một phần lượng thuốc trong đơn vị đóng gói nhỏ nhất (ví dụ: thuốc dùng trong chuyên khoa nhi, chuyên khoa ung bướu) và lượng thuốc còn lại không thể sử dụng được (ví dụ: không có người bệnh có cùng chỉ định, lượng thuốc còn lại không đủ liều lượng, quá thời hạn bảo quản của thuốc) thì quỹ bảo hiểm y tế thanh toán toàn bộ theo giá của đơn vị đóng gói nhỏ nhất.</w:t>
      </w:r>
    </w:p>
    <w:p w:rsidR="005405D7" w:rsidRPr="005405D7" w:rsidRDefault="005405D7" w:rsidP="005405D7">
      <w:pPr>
        <w:autoSpaceDE w:val="0"/>
        <w:autoSpaceDN w:val="0"/>
        <w:adjustRightInd w:val="0"/>
        <w:spacing w:after="120"/>
        <w:jc w:val="both"/>
        <w:rPr>
          <w:sz w:val="28"/>
          <w:szCs w:val="28"/>
          <w:lang w:val="pt-BR"/>
        </w:rPr>
      </w:pPr>
      <w:r w:rsidRPr="005405D7">
        <w:rPr>
          <w:sz w:val="28"/>
          <w:szCs w:val="28"/>
          <w:lang w:val="pt-BR"/>
        </w:rPr>
        <w:t>6. Các thuốc có ký hiệu dấu (*) là thuốc chỉ sử dụng khi các thuốc khác trong nhóm điều trị không có hiệu quả và phải được hội chẩn trước khi sử dụng. Trường hợp cấp cứu thì phải hội chẩn chậm nhất vào ngày làm việc tiếp theo.</w:t>
      </w:r>
    </w:p>
    <w:p w:rsidR="005405D7" w:rsidRPr="005405D7" w:rsidRDefault="005405D7" w:rsidP="005405D7">
      <w:pPr>
        <w:autoSpaceDE w:val="0"/>
        <w:autoSpaceDN w:val="0"/>
        <w:adjustRightInd w:val="0"/>
        <w:spacing w:after="120"/>
        <w:jc w:val="both"/>
        <w:rPr>
          <w:sz w:val="28"/>
          <w:szCs w:val="28"/>
          <w:lang w:val="pt-BR"/>
        </w:rPr>
      </w:pPr>
      <w:r w:rsidRPr="005405D7">
        <w:rPr>
          <w:sz w:val="28"/>
          <w:szCs w:val="28"/>
          <w:lang w:val="pt-BR"/>
        </w:rPr>
        <w:t>7. Đối với các thuốc trong nhóm điều trị ung thư:</w:t>
      </w:r>
    </w:p>
    <w:p w:rsidR="005405D7" w:rsidRPr="005405D7" w:rsidRDefault="005405D7" w:rsidP="005405D7">
      <w:pPr>
        <w:autoSpaceDE w:val="0"/>
        <w:autoSpaceDN w:val="0"/>
        <w:adjustRightInd w:val="0"/>
        <w:spacing w:after="120"/>
        <w:jc w:val="both"/>
        <w:rPr>
          <w:sz w:val="28"/>
          <w:szCs w:val="28"/>
          <w:lang w:val="pt-BR"/>
        </w:rPr>
      </w:pPr>
      <w:r w:rsidRPr="005405D7">
        <w:rPr>
          <w:sz w:val="28"/>
          <w:szCs w:val="28"/>
          <w:lang w:val="pt-BR"/>
        </w:rPr>
        <w:t>a) Chỉ được sử dụng điều trị ung thư tại các cơ sở khám bệnh, chữa bệnh có chức năng điều trị ung thư (bao gồm cơ sở ung bướu, huyết học truyền máu và y học hạt nhân; các khoa, đơn vị ung bướu, huyết học truyền máu và y học hạt nhân trong viện, bệnh viện chuyên khoa hoặc đa khoa) và phải do bác sĩ được cấp chứng chỉ hành nghề, phạm vi hoạt động chuyên môn là ung bướu hoặc huyết học truyền máu chỉ định;</w:t>
      </w:r>
    </w:p>
    <w:p w:rsidR="005405D7" w:rsidRPr="005405D7" w:rsidRDefault="005405D7" w:rsidP="005405D7">
      <w:pPr>
        <w:autoSpaceDE w:val="0"/>
        <w:autoSpaceDN w:val="0"/>
        <w:adjustRightInd w:val="0"/>
        <w:spacing w:after="120"/>
        <w:jc w:val="both"/>
        <w:rPr>
          <w:i/>
          <w:sz w:val="28"/>
          <w:szCs w:val="28"/>
          <w:lang w:val="pt-BR"/>
        </w:rPr>
      </w:pPr>
      <w:r w:rsidRPr="005405D7">
        <w:rPr>
          <w:sz w:val="28"/>
          <w:szCs w:val="28"/>
          <w:lang w:val="pt-BR"/>
        </w:rPr>
        <w:t>b) Trường hợp sử dụng điều trị các bệnh khác không phải ung thư:</w:t>
      </w:r>
    </w:p>
    <w:p w:rsidR="005405D7" w:rsidRPr="005405D7" w:rsidRDefault="005405D7" w:rsidP="005405D7">
      <w:pPr>
        <w:autoSpaceDE w:val="0"/>
        <w:autoSpaceDN w:val="0"/>
        <w:adjustRightInd w:val="0"/>
        <w:spacing w:after="120"/>
        <w:jc w:val="both"/>
        <w:rPr>
          <w:spacing w:val="2"/>
          <w:sz w:val="28"/>
          <w:szCs w:val="28"/>
          <w:lang w:val="pt-BR"/>
        </w:rPr>
      </w:pPr>
      <w:r w:rsidRPr="005405D7">
        <w:rPr>
          <w:spacing w:val="2"/>
          <w:sz w:val="28"/>
          <w:szCs w:val="28"/>
          <w:lang w:val="pt-BR"/>
        </w:rPr>
        <w:t>Quỹ bảo hiểm y tế thanh toán theo đúng hướng dẫn chẩn đoán và điều trị của Bộ Y tế hoặc của bệnh viện. Trường hợp chưa có hướng dẫn chẩn đoán và điều trị thì phải hội chẩn với bác sĩ chuyên khoa ung bướu. Trường hợp chưa có hướng dẫn chẩn đoán và điều trị và không có bác sĩ chuyên khoa ung bướu thì phải được hội chẩn dưới sự chủ trì của lãnh đạo bệnh viện trước khi chỉ định sử dụng (trừ các thuốc không phải hội chẩn với khoa ung bướu được ghi tại cột 9).</w:t>
      </w:r>
    </w:p>
    <w:p w:rsidR="005405D7" w:rsidRPr="005405D7" w:rsidRDefault="005405D7" w:rsidP="005405D7">
      <w:pPr>
        <w:autoSpaceDE w:val="0"/>
        <w:autoSpaceDN w:val="0"/>
        <w:adjustRightInd w:val="0"/>
        <w:spacing w:after="120"/>
        <w:jc w:val="both"/>
        <w:rPr>
          <w:bCs/>
          <w:sz w:val="28"/>
          <w:szCs w:val="28"/>
          <w:lang w:val="es-MX"/>
        </w:rPr>
      </w:pPr>
      <w:r w:rsidRPr="005405D7">
        <w:rPr>
          <w:sz w:val="28"/>
          <w:szCs w:val="28"/>
          <w:lang w:val="pt-BR"/>
        </w:rPr>
        <w:t>8. Trường hợp cơ sở khám bệnh, chữa bệnh thực hiện được các dịch vụ kỹ thuật của tuyến cao hơn theo phân tuyến chuyên môn kỹ thuật thì được sử dụng các thuốc theo danh mục thuốc quy định đối với tuyến cao hơn, phù hợp với dịch vụ kỹ thuật đã được cấp có thẩm quyền phê duyệt. Cơ sở khám bệnh, chữa bệnh tổng hợp, gửi danh mục thuốc cho tổ chức bảo hiểm xã hội để làm cơ sở thanh toán</w:t>
      </w:r>
      <w:r w:rsidRPr="005405D7">
        <w:rPr>
          <w:bCs/>
          <w:sz w:val="28"/>
          <w:szCs w:val="28"/>
          <w:lang w:val="es-MX"/>
        </w:rPr>
        <w:t>.</w:t>
      </w:r>
    </w:p>
    <w:p w:rsidR="005405D7" w:rsidRPr="005405D7" w:rsidRDefault="005405D7" w:rsidP="005405D7">
      <w:pPr>
        <w:autoSpaceDE w:val="0"/>
        <w:autoSpaceDN w:val="0"/>
        <w:adjustRightInd w:val="0"/>
        <w:spacing w:after="120"/>
        <w:jc w:val="both"/>
        <w:rPr>
          <w:sz w:val="28"/>
          <w:szCs w:val="28"/>
          <w:lang w:val="pt-BR"/>
        </w:rPr>
      </w:pPr>
      <w:r w:rsidRPr="005405D7">
        <w:rPr>
          <w:sz w:val="28"/>
          <w:szCs w:val="28"/>
          <w:lang w:val="pt-BR"/>
        </w:rPr>
        <w:t>9. Các thuốc do cơ sở khám bệnh, chữa bệnh tự bào chế theo quy định được quỹ bảo hiểm y tế thanh toán khi sử dụng tại cơ sở khám bệnh, chữa bệnh đó. Giá thuốc để thanh toán được xây dựng trên cơ sở giá thành sản phẩm do giám đốc bệnh viện quy định sau khi thống nhất với tổ chức bảo hiểm xã hội và chịu trách nhiệm trước pháp luật.</w:t>
      </w:r>
    </w:p>
    <w:p w:rsidR="005405D7" w:rsidRPr="005405D7" w:rsidRDefault="005405D7" w:rsidP="005405D7">
      <w:pPr>
        <w:spacing w:after="120"/>
        <w:jc w:val="both"/>
        <w:rPr>
          <w:sz w:val="28"/>
          <w:szCs w:val="28"/>
          <w:lang w:val="pt-BR"/>
        </w:rPr>
      </w:pPr>
      <w:bookmarkStart w:id="7" w:name="dieu_6"/>
      <w:r w:rsidRPr="005405D7">
        <w:rPr>
          <w:rFonts w:eastAsia="Batang"/>
          <w:b/>
          <w:bCs/>
          <w:sz w:val="28"/>
          <w:szCs w:val="28"/>
          <w:lang w:val="pt-BR"/>
        </w:rPr>
        <w:t>Điều 6. Tổ chức thực hiện</w:t>
      </w:r>
    </w:p>
    <w:bookmarkEnd w:id="7"/>
    <w:p w:rsidR="005405D7" w:rsidRPr="005405D7" w:rsidRDefault="005405D7" w:rsidP="005405D7">
      <w:pPr>
        <w:spacing w:after="120"/>
        <w:jc w:val="both"/>
        <w:rPr>
          <w:sz w:val="28"/>
          <w:szCs w:val="28"/>
          <w:lang w:val="pt-BR"/>
        </w:rPr>
      </w:pPr>
      <w:r w:rsidRPr="005405D7">
        <w:rPr>
          <w:sz w:val="28"/>
          <w:szCs w:val="28"/>
          <w:lang w:val="pt-BR"/>
        </w:rPr>
        <w:t>1. Bộ Y tế có trách nhiệm:</w:t>
      </w:r>
    </w:p>
    <w:p w:rsidR="005405D7" w:rsidRPr="005405D7" w:rsidRDefault="005405D7" w:rsidP="005405D7">
      <w:pPr>
        <w:spacing w:after="120"/>
        <w:jc w:val="both"/>
        <w:rPr>
          <w:sz w:val="28"/>
          <w:szCs w:val="28"/>
          <w:lang w:val="pt-BR"/>
        </w:rPr>
      </w:pPr>
      <w:r w:rsidRPr="005405D7">
        <w:rPr>
          <w:sz w:val="28"/>
          <w:szCs w:val="28"/>
          <w:lang w:val="pt-BR"/>
        </w:rPr>
        <w:t>a) Chỉ đạo, hướng dẫn, kiểm tra, thanh tra việc xây dựng danh mục thuốc,</w:t>
      </w:r>
    </w:p>
    <w:p w:rsidR="005405D7" w:rsidRPr="005405D7" w:rsidRDefault="005405D7" w:rsidP="005405D7">
      <w:pPr>
        <w:spacing w:after="120"/>
        <w:jc w:val="both"/>
        <w:rPr>
          <w:sz w:val="28"/>
          <w:szCs w:val="28"/>
          <w:lang w:val="pt-BR"/>
        </w:rPr>
      </w:pPr>
      <w:r w:rsidRPr="005405D7">
        <w:rPr>
          <w:sz w:val="28"/>
          <w:szCs w:val="28"/>
          <w:lang w:val="pt-BR"/>
        </w:rPr>
        <w:t>đấu thầu mua thuốc, quản lý, sử dụng, thanh toán chi phí thuốc của các cơ sở khám bệnh, chữa bệnh;</w:t>
      </w:r>
    </w:p>
    <w:p w:rsidR="005405D7" w:rsidRPr="005405D7" w:rsidRDefault="005405D7" w:rsidP="005405D7">
      <w:pPr>
        <w:spacing w:after="120"/>
        <w:jc w:val="both"/>
        <w:rPr>
          <w:sz w:val="28"/>
          <w:szCs w:val="28"/>
          <w:lang w:val="pt-BR"/>
        </w:rPr>
      </w:pPr>
      <w:r w:rsidRPr="005405D7">
        <w:rPr>
          <w:sz w:val="28"/>
          <w:szCs w:val="28"/>
          <w:lang w:val="pt-BR"/>
        </w:rPr>
        <w:t>b) Chủ trì, phối hợp với các cơ quan liên quan giải quyết các vướng mắc phát sinh trong quá trình thực hiện;</w:t>
      </w:r>
    </w:p>
    <w:p w:rsidR="005405D7" w:rsidRPr="005405D7" w:rsidRDefault="005405D7" w:rsidP="005405D7">
      <w:pPr>
        <w:spacing w:after="120"/>
        <w:jc w:val="both"/>
        <w:rPr>
          <w:sz w:val="28"/>
          <w:szCs w:val="28"/>
          <w:lang w:val="pt-BR"/>
        </w:rPr>
      </w:pPr>
      <w:r w:rsidRPr="005405D7">
        <w:rPr>
          <w:sz w:val="28"/>
          <w:szCs w:val="28"/>
          <w:lang w:val="pt-BR"/>
        </w:rPr>
        <w:t>c) Chủ trì, phối hợp với các cơ quan liên quan cập nhật, điều chỉnh, sửa đổi, bổ sung danh mục thuốc ban hành kèm theo Thông tư này định kỳ 02 năm một lần để đáp ứng với nhu cầu điều trị và phù hợp với khả năng thanh toán của quỹ bảo hiểm y tế.</w:t>
      </w:r>
    </w:p>
    <w:p w:rsidR="005405D7" w:rsidRPr="005405D7" w:rsidRDefault="005405D7" w:rsidP="005405D7">
      <w:pPr>
        <w:spacing w:after="120"/>
        <w:jc w:val="both"/>
        <w:rPr>
          <w:rFonts w:eastAsia="Batang"/>
          <w:sz w:val="28"/>
          <w:szCs w:val="28"/>
          <w:lang w:val="pt-BR"/>
        </w:rPr>
      </w:pPr>
      <w:r w:rsidRPr="005405D7">
        <w:rPr>
          <w:rFonts w:eastAsia="Batang"/>
          <w:sz w:val="28"/>
          <w:szCs w:val="28"/>
          <w:lang w:val="pt-BR"/>
        </w:rPr>
        <w:t>2. Bảo hiểm xã hội Việt Nam có trách nhiệm:</w:t>
      </w:r>
    </w:p>
    <w:p w:rsidR="005405D7" w:rsidRPr="005405D7" w:rsidRDefault="005405D7" w:rsidP="005405D7">
      <w:pPr>
        <w:spacing w:after="120"/>
        <w:jc w:val="both"/>
        <w:rPr>
          <w:rFonts w:eastAsia="Batang"/>
          <w:sz w:val="28"/>
          <w:szCs w:val="28"/>
          <w:lang w:val="pt-BR"/>
        </w:rPr>
      </w:pPr>
      <w:r w:rsidRPr="005405D7">
        <w:rPr>
          <w:rFonts w:eastAsia="Batang"/>
          <w:sz w:val="28"/>
          <w:szCs w:val="28"/>
          <w:lang w:val="pt-BR"/>
        </w:rPr>
        <w:t>a) Thực hiện, chỉ đạo bảo hiểm xã hội các tỉnh, thành phố trực thuộc trung ương, phối hợp với Sở Y tế và cơ sở khám bệnh, chữa bệnh trong việc tổ chức thực hiện, thanh toán chi phí thuốc theo đúng quy định của Thông tư này và các văn bản quy phạm pháp luật khác có liên quan;</w:t>
      </w:r>
    </w:p>
    <w:p w:rsidR="005405D7" w:rsidRPr="005405D7" w:rsidRDefault="005405D7" w:rsidP="005405D7">
      <w:pPr>
        <w:spacing w:after="120"/>
        <w:jc w:val="both"/>
        <w:rPr>
          <w:rFonts w:eastAsia="Batang"/>
          <w:sz w:val="28"/>
          <w:szCs w:val="28"/>
          <w:lang w:val="pt-BR"/>
        </w:rPr>
      </w:pPr>
      <w:r w:rsidRPr="005405D7">
        <w:rPr>
          <w:rFonts w:eastAsia="Batang"/>
          <w:sz w:val="28"/>
          <w:szCs w:val="28"/>
          <w:lang w:val="pt-BR"/>
        </w:rPr>
        <w:t>b) Phối hợp với các cơ quan liên quan giải quyết vướng mắc phát sinh trong quá trình tổ chức thực hiện.</w:t>
      </w:r>
    </w:p>
    <w:p w:rsidR="005405D7" w:rsidRPr="005405D7" w:rsidRDefault="005405D7" w:rsidP="005405D7">
      <w:pPr>
        <w:spacing w:after="120"/>
        <w:jc w:val="both"/>
        <w:rPr>
          <w:rFonts w:eastAsia="Batang"/>
          <w:sz w:val="28"/>
          <w:szCs w:val="28"/>
          <w:lang w:val="pt-BR"/>
        </w:rPr>
      </w:pPr>
      <w:r w:rsidRPr="005405D7">
        <w:rPr>
          <w:rFonts w:eastAsia="Batang"/>
          <w:sz w:val="28"/>
          <w:szCs w:val="28"/>
          <w:lang w:val="pt-BR"/>
        </w:rPr>
        <w:t>3. Sở Y tế các tỉnh, thành phố trực thuộc trung ương có trách nhiệm:</w:t>
      </w:r>
    </w:p>
    <w:p w:rsidR="005405D7" w:rsidRPr="005405D7" w:rsidRDefault="005405D7" w:rsidP="005405D7">
      <w:pPr>
        <w:spacing w:after="120"/>
        <w:jc w:val="both"/>
        <w:rPr>
          <w:rFonts w:eastAsia="Batang"/>
          <w:sz w:val="28"/>
          <w:szCs w:val="28"/>
          <w:lang w:val="pt-BR"/>
        </w:rPr>
      </w:pPr>
      <w:r w:rsidRPr="005405D7">
        <w:rPr>
          <w:rFonts w:eastAsia="Batang"/>
          <w:sz w:val="28"/>
          <w:szCs w:val="28"/>
          <w:lang w:val="pt-BR"/>
        </w:rPr>
        <w:t>a) Thực hiện, chỉ đạo, hướng dẫn, thanh tra, kiểm tra việc xây dựng danh mục thuốc, đấu thầu mua thuốc, quản lý, sử dụng và thanh toán chi phí thuốc của các cơ sở khám bệnh, chữa bệnh theo thẩm quyền;</w:t>
      </w:r>
    </w:p>
    <w:p w:rsidR="005405D7" w:rsidRPr="005405D7" w:rsidRDefault="005405D7" w:rsidP="005405D7">
      <w:pPr>
        <w:spacing w:after="120"/>
        <w:jc w:val="both"/>
        <w:rPr>
          <w:rFonts w:eastAsia="Batang"/>
          <w:sz w:val="28"/>
          <w:szCs w:val="28"/>
          <w:lang w:val="pt-BR"/>
        </w:rPr>
      </w:pPr>
      <w:r w:rsidRPr="005405D7">
        <w:rPr>
          <w:rFonts w:eastAsia="Batang"/>
          <w:sz w:val="28"/>
          <w:szCs w:val="28"/>
          <w:lang w:val="pt-BR"/>
        </w:rPr>
        <w:t>b) Hướng dẫn xây dựng và phê duyệt danh mục thuốc sử dụng tại phòng khám không có bác sĩ và Trạm y tế xã, phường, thị trấn trên địa bàn quản lý theo quy định.</w:t>
      </w:r>
    </w:p>
    <w:p w:rsidR="005405D7" w:rsidRPr="005405D7" w:rsidRDefault="005405D7" w:rsidP="005405D7">
      <w:pPr>
        <w:spacing w:after="120"/>
        <w:jc w:val="both"/>
        <w:rPr>
          <w:rFonts w:eastAsia="Batang"/>
          <w:sz w:val="28"/>
          <w:szCs w:val="28"/>
          <w:lang w:val="pt-BR"/>
        </w:rPr>
      </w:pPr>
      <w:r w:rsidRPr="005405D7">
        <w:rPr>
          <w:rFonts w:eastAsia="Batang"/>
          <w:sz w:val="28"/>
          <w:szCs w:val="28"/>
          <w:lang w:val="pt-BR"/>
        </w:rPr>
        <w:t xml:space="preserve">4. Cơ sở </w:t>
      </w:r>
      <w:r w:rsidRPr="005405D7">
        <w:rPr>
          <w:sz w:val="28"/>
          <w:szCs w:val="28"/>
          <w:lang w:val="pt-BR"/>
        </w:rPr>
        <w:t>khám bệnh, chữa bệnh</w:t>
      </w:r>
      <w:r w:rsidRPr="005405D7">
        <w:rPr>
          <w:rFonts w:eastAsia="Batang"/>
          <w:sz w:val="28"/>
          <w:szCs w:val="28"/>
          <w:lang w:val="pt-BR"/>
        </w:rPr>
        <w:t xml:space="preserve"> có trách nhiệm:</w:t>
      </w:r>
    </w:p>
    <w:p w:rsidR="005405D7" w:rsidRPr="005405D7" w:rsidRDefault="005405D7" w:rsidP="005405D7">
      <w:pPr>
        <w:spacing w:after="120"/>
        <w:jc w:val="both"/>
        <w:rPr>
          <w:bCs/>
          <w:sz w:val="28"/>
          <w:szCs w:val="28"/>
          <w:lang w:val="es-ES_tradnl"/>
        </w:rPr>
      </w:pPr>
      <w:r w:rsidRPr="005405D7">
        <w:rPr>
          <w:rFonts w:eastAsia="Batang"/>
          <w:sz w:val="28"/>
          <w:szCs w:val="28"/>
          <w:lang w:val="pt-BR"/>
        </w:rPr>
        <w:t xml:space="preserve">a) Xây dựng danh mục thuốc sử dụng tại đơn vị, kể cả những thuốc được sử dụng để </w:t>
      </w:r>
      <w:r w:rsidRPr="005405D7">
        <w:rPr>
          <w:sz w:val="28"/>
          <w:szCs w:val="28"/>
          <w:lang w:val="pt-BR"/>
        </w:rPr>
        <w:t xml:space="preserve">thực hiện các dịch vụ kỹ thuật của tuyến cao hơn theo phân tuyến chuyên môn kỹ thuật, thuốc do </w:t>
      </w:r>
      <w:r w:rsidRPr="005405D7">
        <w:rPr>
          <w:bCs/>
          <w:sz w:val="28"/>
          <w:szCs w:val="28"/>
          <w:lang w:val="pt-BR"/>
        </w:rPr>
        <w:t xml:space="preserve">cơ sở khám bệnh, chữa bệnh </w:t>
      </w:r>
      <w:r w:rsidRPr="005405D7">
        <w:rPr>
          <w:sz w:val="28"/>
          <w:szCs w:val="28"/>
          <w:lang w:val="pt-BR"/>
        </w:rPr>
        <w:t>tự bào chế;</w:t>
      </w:r>
    </w:p>
    <w:p w:rsidR="005405D7" w:rsidRPr="005405D7" w:rsidRDefault="005405D7" w:rsidP="005405D7">
      <w:pPr>
        <w:spacing w:after="120"/>
        <w:jc w:val="both"/>
        <w:rPr>
          <w:sz w:val="28"/>
          <w:szCs w:val="28"/>
          <w:lang w:val="es-ES_tradnl"/>
        </w:rPr>
      </w:pPr>
      <w:r w:rsidRPr="005405D7">
        <w:rPr>
          <w:rFonts w:eastAsia="Batang"/>
          <w:sz w:val="28"/>
          <w:szCs w:val="28"/>
          <w:lang w:val="es-ES_tradnl"/>
        </w:rPr>
        <w:t xml:space="preserve">b) Cung ứng đầy đủ, kịp thời, </w:t>
      </w:r>
      <w:r w:rsidRPr="005405D7">
        <w:rPr>
          <w:sz w:val="28"/>
          <w:szCs w:val="28"/>
          <w:lang w:val="es-ES_tradnl"/>
        </w:rPr>
        <w:t>đúng quy định, đáp ứng nhu cầu điều trị của</w:t>
      </w:r>
      <w:r w:rsidRPr="005405D7">
        <w:rPr>
          <w:rFonts w:eastAsia="Batang"/>
          <w:sz w:val="28"/>
          <w:szCs w:val="28"/>
          <w:lang w:val="es-ES_tradnl"/>
        </w:rPr>
        <w:t xml:space="preserve"> người bệnh bảo hiểm y tế theo danh mục thuốc đã xây dựng, không để người bệnh phải tự mua</w:t>
      </w:r>
      <w:r w:rsidRPr="005405D7">
        <w:rPr>
          <w:sz w:val="28"/>
          <w:szCs w:val="28"/>
          <w:lang w:val="es-ES_tradnl"/>
        </w:rPr>
        <w:t xml:space="preserve">. Cơ sở khám bệnh, chữa bệnh gửi tổ chức bảo hiểm xã hội </w:t>
      </w:r>
      <w:r w:rsidRPr="005405D7">
        <w:rPr>
          <w:bCs/>
          <w:sz w:val="28"/>
          <w:szCs w:val="28"/>
          <w:lang w:val="es-ES_tradnl"/>
        </w:rPr>
        <w:t xml:space="preserve">kết quả đấu thầu thuốc; danh mục thuốc thành phẩm cụ thể được sử dụng tại cơ sở khám bệnh, chữa bệnh bao gồm: các thuốc được mua sắm, </w:t>
      </w:r>
      <w:r w:rsidRPr="005405D7">
        <w:rPr>
          <w:rFonts w:eastAsia="Batang"/>
          <w:sz w:val="28"/>
          <w:szCs w:val="28"/>
          <w:lang w:val="pt-BR"/>
        </w:rPr>
        <w:t xml:space="preserve">thuốc được sử dụng để </w:t>
      </w:r>
      <w:r w:rsidRPr="005405D7">
        <w:rPr>
          <w:sz w:val="28"/>
          <w:szCs w:val="28"/>
          <w:lang w:val="pt-BR"/>
        </w:rPr>
        <w:t>thực hiện các dịch vụ kỹ thuật của tuyến cao hơn theo phân tuyến chuyên môn kỹ thuật</w:t>
      </w:r>
      <w:r w:rsidRPr="005405D7">
        <w:rPr>
          <w:bCs/>
          <w:sz w:val="28"/>
          <w:szCs w:val="28"/>
          <w:lang w:val="es-ES_tradnl"/>
        </w:rPr>
        <w:t xml:space="preserve"> và các thuốc do cơ sở khám bệnh, chữa bệnh tự bào chế</w:t>
      </w:r>
      <w:r w:rsidRPr="005405D7">
        <w:rPr>
          <w:sz w:val="28"/>
          <w:szCs w:val="28"/>
          <w:lang w:val="es-ES_tradnl"/>
        </w:rPr>
        <w:t xml:space="preserve"> theo mẫu tại Phụ lục 01 ban hành kèm theo Thông tư này để </w:t>
      </w:r>
      <w:r w:rsidRPr="005405D7">
        <w:rPr>
          <w:bCs/>
          <w:sz w:val="28"/>
          <w:szCs w:val="28"/>
          <w:lang w:val="es-ES_tradnl"/>
        </w:rPr>
        <w:t>làm cơ sở thanh toán</w:t>
      </w:r>
      <w:r w:rsidRPr="005405D7">
        <w:rPr>
          <w:sz w:val="28"/>
          <w:szCs w:val="28"/>
          <w:lang w:val="es-ES_tradnl"/>
        </w:rPr>
        <w:t>;</w:t>
      </w:r>
    </w:p>
    <w:p w:rsidR="005405D7" w:rsidRPr="005405D7" w:rsidRDefault="005405D7" w:rsidP="005405D7">
      <w:pPr>
        <w:spacing w:after="120"/>
        <w:jc w:val="both"/>
        <w:rPr>
          <w:rFonts w:eastAsia="Batang"/>
          <w:sz w:val="28"/>
          <w:szCs w:val="28"/>
          <w:lang w:val="es-ES_tradnl"/>
        </w:rPr>
      </w:pPr>
      <w:r w:rsidRPr="005405D7">
        <w:rPr>
          <w:bCs/>
          <w:spacing w:val="-4"/>
          <w:sz w:val="28"/>
          <w:szCs w:val="28"/>
          <w:lang w:val="es-ES_tradnl"/>
        </w:rPr>
        <w:t xml:space="preserve">c) </w:t>
      </w:r>
      <w:r w:rsidRPr="005405D7">
        <w:rPr>
          <w:rFonts w:eastAsia="Batang"/>
          <w:sz w:val="28"/>
          <w:szCs w:val="28"/>
          <w:lang w:val="es-ES_tradnl"/>
        </w:rPr>
        <w:t>Quản lý việc kê đơn, chỉ định sử dụng thuốc theo đúng quy định, bảo đảm an toàn, hợp lý, tiết kiệm và bảo đảm chất lượng thuốc sử dụng tại đơn vị; thực hiện việc hội chẩn khi sử dụng đối với các thuốc có ký hiệu dấu (*) theo đúng quy chế chuyên môn; tổng hợp thanh toán kịp thời, đúng chủng loại, đúng số lượng và đúng giá;</w:t>
      </w:r>
    </w:p>
    <w:p w:rsidR="005405D7" w:rsidRPr="005405D7" w:rsidRDefault="005405D7" w:rsidP="005405D7">
      <w:pPr>
        <w:spacing w:after="120"/>
        <w:jc w:val="both"/>
        <w:rPr>
          <w:sz w:val="28"/>
          <w:szCs w:val="28"/>
          <w:lang w:val="es-ES_tradnl"/>
        </w:rPr>
      </w:pPr>
      <w:r w:rsidRPr="005405D7">
        <w:rPr>
          <w:rFonts w:eastAsia="Batang"/>
          <w:sz w:val="28"/>
          <w:szCs w:val="28"/>
          <w:lang w:val="es-ES_tradnl"/>
        </w:rPr>
        <w:t>d) Thực hiện đúng các quy định hiện hành về quản</w:t>
      </w:r>
      <w:r w:rsidRPr="005405D7">
        <w:rPr>
          <w:sz w:val="28"/>
          <w:szCs w:val="28"/>
          <w:lang w:val="es-ES_tradnl"/>
        </w:rPr>
        <w:t xml:space="preserve"> </w:t>
      </w:r>
      <w:r w:rsidRPr="005405D7">
        <w:rPr>
          <w:rFonts w:eastAsia="Batang"/>
          <w:sz w:val="28"/>
          <w:szCs w:val="28"/>
          <w:lang w:val="es-ES_tradnl"/>
        </w:rPr>
        <w:t xml:space="preserve">lý, sử dụng thuốc và tuân thủ đầy đủ các quy định của pháp luật về an toàn và kiểm soát bức xạ trong quản lý, cung ứng và sử dụng và đối với các </w:t>
      </w:r>
      <w:r w:rsidRPr="005405D7">
        <w:rPr>
          <w:sz w:val="28"/>
          <w:szCs w:val="28"/>
          <w:lang w:val="es-ES_tradnl"/>
        </w:rPr>
        <w:t>thuốc phóng xạ và hợp chất đánh dấu thuộc danh mục thuốc;</w:t>
      </w:r>
    </w:p>
    <w:p w:rsidR="005405D7" w:rsidRPr="005405D7" w:rsidRDefault="005405D7" w:rsidP="005405D7">
      <w:pPr>
        <w:spacing w:after="120"/>
        <w:jc w:val="both"/>
        <w:rPr>
          <w:sz w:val="28"/>
          <w:szCs w:val="28"/>
          <w:lang w:val="es-ES_tradnl"/>
        </w:rPr>
      </w:pPr>
      <w:r w:rsidRPr="005405D7">
        <w:rPr>
          <w:sz w:val="28"/>
          <w:szCs w:val="28"/>
          <w:lang w:val="es-ES_tradnl"/>
        </w:rPr>
        <w:t>đ) Trường hợp cần thay đổi hay bổ sung thuốc vào danh mục thuốc sử dụng tại đơn vị, cơ sở khám bệnh, chữa bệnh xây dựng danh mục thuốc sửa đổi, bổ sung, gửi tổ chức bảo hiểm xã hội để làm cơ sở thanh toán;</w:t>
      </w:r>
    </w:p>
    <w:p w:rsidR="005405D7" w:rsidRPr="005405D7" w:rsidRDefault="005405D7" w:rsidP="005405D7">
      <w:pPr>
        <w:spacing w:after="120"/>
        <w:jc w:val="both"/>
        <w:rPr>
          <w:sz w:val="28"/>
          <w:szCs w:val="28"/>
          <w:lang w:val="es-ES_tradnl"/>
        </w:rPr>
      </w:pPr>
      <w:r w:rsidRPr="005405D7">
        <w:rPr>
          <w:sz w:val="28"/>
          <w:szCs w:val="28"/>
          <w:lang w:val="es-ES_tradnl"/>
        </w:rPr>
        <w:t>e) Trường hợp cần đề xuất sửa đổi, loại bỏ hay bổ sung thuốc mới vào danh mục thuốc quy định tại Thông tư này cho phù hợp với tình hình thực tế, đáp ứng yêu cầu điều trị của người bệnh, các cơ sở khám bệnh, chữa bệnh có văn bản đề nghị theo mẫu tại Phụ lục số 02 ban hành kèm theo Thông tư này, gửi về Bộ Y tế (Vụ Bảo hiểm y tế) hoặc Sở Y tế các tỉnh, thành phố trực thuộc trung ương để tổng hợp gửi Bộ Y tế.</w:t>
      </w:r>
    </w:p>
    <w:p w:rsidR="005405D7" w:rsidRPr="005405D7" w:rsidRDefault="005405D7" w:rsidP="005405D7">
      <w:pPr>
        <w:spacing w:after="120"/>
        <w:jc w:val="both"/>
        <w:rPr>
          <w:sz w:val="28"/>
          <w:szCs w:val="28"/>
          <w:lang w:val="es-ES_tradnl"/>
        </w:rPr>
      </w:pPr>
      <w:bookmarkStart w:id="8" w:name="dieu_7"/>
      <w:r w:rsidRPr="005405D7">
        <w:rPr>
          <w:b/>
          <w:bCs/>
          <w:sz w:val="28"/>
          <w:szCs w:val="28"/>
          <w:lang w:val="es-ES_tradnl"/>
        </w:rPr>
        <w:t>Điều 7. Quy định chuyển tiếp và điều khoản tham chiếu</w:t>
      </w:r>
    </w:p>
    <w:bookmarkEnd w:id="8"/>
    <w:p w:rsidR="005405D7" w:rsidRPr="005405D7" w:rsidRDefault="005405D7" w:rsidP="005405D7">
      <w:pPr>
        <w:spacing w:after="120"/>
        <w:jc w:val="both"/>
        <w:rPr>
          <w:sz w:val="28"/>
          <w:szCs w:val="28"/>
          <w:lang w:val="es-ES_tradnl"/>
        </w:rPr>
      </w:pPr>
      <w:r w:rsidRPr="005405D7">
        <w:rPr>
          <w:sz w:val="28"/>
          <w:szCs w:val="28"/>
          <w:lang w:val="es-ES_tradnl"/>
        </w:rPr>
        <w:t>1. Trường hợp</w:t>
      </w:r>
      <w:r w:rsidRPr="005405D7">
        <w:rPr>
          <w:rFonts w:eastAsia=".VnTime"/>
          <w:sz w:val="28"/>
          <w:szCs w:val="28"/>
          <w:lang w:val="vi-VN"/>
        </w:rPr>
        <w:t xml:space="preserve"> người </w:t>
      </w:r>
      <w:r w:rsidRPr="005405D7">
        <w:rPr>
          <w:rFonts w:eastAsia=".VnTime"/>
          <w:sz w:val="28"/>
          <w:szCs w:val="28"/>
          <w:lang w:val="es-ES_tradnl"/>
        </w:rPr>
        <w:t>bệnh có thẻ bảo hiểm y tế</w:t>
      </w:r>
      <w:r w:rsidRPr="005405D7">
        <w:rPr>
          <w:rFonts w:eastAsia=".VnTime"/>
          <w:sz w:val="28"/>
          <w:szCs w:val="28"/>
          <w:lang w:val="vi-VN"/>
        </w:rPr>
        <w:t xml:space="preserve"> </w:t>
      </w:r>
      <w:r w:rsidRPr="005405D7">
        <w:rPr>
          <w:rFonts w:eastAsia=".VnTime"/>
          <w:sz w:val="28"/>
          <w:szCs w:val="28"/>
          <w:lang w:val="es-ES_tradnl"/>
        </w:rPr>
        <w:t>vào viện t</w:t>
      </w:r>
      <w:r w:rsidRPr="005405D7">
        <w:rPr>
          <w:sz w:val="28"/>
          <w:szCs w:val="28"/>
          <w:lang w:val="vi-VN"/>
        </w:rPr>
        <w:t xml:space="preserve">rước ngày Thông tư này có hiệu lực nhưng còn đang điều trị tại cơ sở </w:t>
      </w:r>
      <w:r w:rsidRPr="005405D7">
        <w:rPr>
          <w:sz w:val="28"/>
          <w:szCs w:val="28"/>
          <w:lang w:val="es-ES_tradnl"/>
        </w:rPr>
        <w:t>khám bệnh, chữa bệnh</w:t>
      </w:r>
      <w:r w:rsidRPr="005405D7">
        <w:rPr>
          <w:sz w:val="28"/>
          <w:szCs w:val="28"/>
          <w:lang w:val="vi-VN"/>
        </w:rPr>
        <w:t xml:space="preserve"> thì thực hiện theo quy định tại Thông tư </w:t>
      </w:r>
      <w:r w:rsidRPr="005405D7">
        <w:rPr>
          <w:sz w:val="28"/>
          <w:szCs w:val="28"/>
          <w:lang w:val="es-ES_tradnl"/>
        </w:rPr>
        <w:t>số 31/2011/TT-BYT ngày 11 tháng 7 năm 2011 và Thông tư số 10/2012/TT-BYT ngày 08 tháng 6 năm 2012 sửa đổi, bổ sung một số điều của Thông tư số 31/2011/TT-BYT ngày 11 tháng 7 năm 2011 cho đến khi người bệnh ra viện</w:t>
      </w:r>
      <w:r w:rsidRPr="005405D7">
        <w:rPr>
          <w:sz w:val="28"/>
          <w:szCs w:val="28"/>
          <w:lang w:val="vi-VN"/>
        </w:rPr>
        <w:t>.</w:t>
      </w:r>
    </w:p>
    <w:p w:rsidR="005405D7" w:rsidRPr="005405D7" w:rsidRDefault="005405D7" w:rsidP="005405D7">
      <w:pPr>
        <w:spacing w:after="120"/>
        <w:jc w:val="both"/>
        <w:rPr>
          <w:color w:val="000000"/>
          <w:sz w:val="28"/>
          <w:szCs w:val="28"/>
          <w:lang w:val="es-ES_tradnl"/>
        </w:rPr>
      </w:pPr>
      <w:r w:rsidRPr="005405D7">
        <w:rPr>
          <w:sz w:val="28"/>
          <w:szCs w:val="28"/>
          <w:lang w:val="es-ES_tradnl"/>
        </w:rPr>
        <w:t xml:space="preserve">2. Đối với các thuốc có trong danh mục ban hành kèm theo Thông tư số 31/2011/TT-BYT ngày 11 tháng 7 năm 2011 và Thông tư số 10/2012/TT-BYT ngày 08 tháng 6 năm 2012 sửa đổi, bổ sung một số điều của Thông tư số 31/2011/TT-BYT ngày 11 tháng 7 năm 2011 mà không có trong danh mục thuốc thuộc phạm vi thanh toán của quỹ bảo hiểm y tế ban hành kèm theo Thông tư này, quỹ bảo hiểm y tế tiếp tục thanh toán cho đến khi sử dụng hết số thuốc đã trúng thầu theo kết quả đấu thầu cung ứng thuốc và đã được cơ sở khám bệnh, chữa bệnh ký hợp đồng cung ứng với nhà thầu trước </w:t>
      </w:r>
      <w:r w:rsidRPr="005405D7">
        <w:rPr>
          <w:color w:val="000000"/>
          <w:sz w:val="28"/>
          <w:szCs w:val="28"/>
          <w:lang w:val="es-ES_tradnl"/>
        </w:rPr>
        <w:t>ngày Thông tư này có hiệu lực.</w:t>
      </w:r>
    </w:p>
    <w:p w:rsidR="005405D7" w:rsidRPr="005405D7" w:rsidRDefault="005405D7" w:rsidP="005405D7">
      <w:pPr>
        <w:spacing w:after="120"/>
        <w:jc w:val="both"/>
        <w:rPr>
          <w:color w:val="000000"/>
          <w:sz w:val="28"/>
          <w:szCs w:val="28"/>
          <w:lang w:val="es-ES_tradnl"/>
        </w:rPr>
      </w:pPr>
      <w:r w:rsidRPr="005405D7">
        <w:rPr>
          <w:color w:val="000000"/>
          <w:sz w:val="28"/>
          <w:szCs w:val="28"/>
          <w:lang w:val="es-ES_tradnl"/>
        </w:rPr>
        <w:t>3. Đối với các thuốc có trong danh mục ban hành kèm theo Thông tư số 31/2011/TT-BYT ngày 11 tháng 7 năm 2011 nhưng có quy định điều kiện, tỷ lệ thanh toán tại Thông tư này, quỹ bảo hiểm y tế thanh toán theo điều kiện, tỷ lệ quy định tại Thông tư này kể từ ngày 01 tháng 01 năm 2015 (trừ trường hợp quy định tại Khoản 1 Điều này).</w:t>
      </w:r>
    </w:p>
    <w:p w:rsidR="005405D7" w:rsidRPr="005405D7" w:rsidRDefault="005405D7" w:rsidP="005405D7">
      <w:pPr>
        <w:autoSpaceDE w:val="0"/>
        <w:autoSpaceDN w:val="0"/>
        <w:adjustRightInd w:val="0"/>
        <w:spacing w:after="120"/>
        <w:jc w:val="both"/>
        <w:rPr>
          <w:color w:val="000000"/>
          <w:sz w:val="28"/>
          <w:szCs w:val="28"/>
          <w:lang w:val="es-ES_tradnl"/>
        </w:rPr>
      </w:pPr>
      <w:bookmarkStart w:id="9" w:name="dieu_8"/>
      <w:r w:rsidRPr="005405D7">
        <w:rPr>
          <w:b/>
          <w:bCs/>
          <w:color w:val="000000"/>
          <w:sz w:val="28"/>
          <w:szCs w:val="28"/>
          <w:lang w:val="es-ES_tradnl"/>
        </w:rPr>
        <w:t>Điều 8. Hiệu lực thi hành</w:t>
      </w:r>
    </w:p>
    <w:bookmarkEnd w:id="9"/>
    <w:p w:rsidR="005405D7" w:rsidRPr="005405D7" w:rsidRDefault="005405D7" w:rsidP="005405D7">
      <w:pPr>
        <w:autoSpaceDE w:val="0"/>
        <w:autoSpaceDN w:val="0"/>
        <w:adjustRightInd w:val="0"/>
        <w:spacing w:after="120"/>
        <w:jc w:val="both"/>
        <w:rPr>
          <w:color w:val="000000"/>
          <w:sz w:val="28"/>
          <w:szCs w:val="28"/>
          <w:lang w:val="es-ES_tradnl"/>
        </w:rPr>
      </w:pPr>
      <w:r w:rsidRPr="005405D7">
        <w:rPr>
          <w:color w:val="000000"/>
          <w:sz w:val="28"/>
          <w:szCs w:val="28"/>
          <w:lang w:val="es-ES_tradnl"/>
        </w:rPr>
        <w:t>1. Thông tư này có hiệu lực thi hành kể từ ngày 01 tháng 01 năm 2015.</w:t>
      </w:r>
    </w:p>
    <w:p w:rsidR="005405D7" w:rsidRPr="005405D7" w:rsidRDefault="005405D7" w:rsidP="005405D7">
      <w:pPr>
        <w:autoSpaceDE w:val="0"/>
        <w:autoSpaceDN w:val="0"/>
        <w:adjustRightInd w:val="0"/>
        <w:spacing w:after="120"/>
        <w:jc w:val="both"/>
        <w:rPr>
          <w:color w:val="000000"/>
          <w:sz w:val="28"/>
          <w:szCs w:val="28"/>
          <w:lang w:val="es-ES_tradnl"/>
        </w:rPr>
      </w:pPr>
      <w:r w:rsidRPr="005405D7">
        <w:rPr>
          <w:color w:val="000000"/>
          <w:sz w:val="28"/>
          <w:szCs w:val="28"/>
          <w:lang w:val="es-ES_tradnl"/>
        </w:rPr>
        <w:t>2. Thông tư số 31/2011/TT-BYT ngày 11 tháng 7 năm 2011 ban hành và hướng dẫn danh mục thuốc chữa bệnh chủ yếu sử dụng tại các cơ sở khám bệnh, chữa bệnh được quỹ bảo hiểm y tế thanh toán và Thông tư số 10/2012/TT-BYT ngày 08 tháng 6 năm 2012 sửa đổi, bổ sung một số điều của Thông tư số 31/2011/TT-BYT ngày 11 tháng 7 năm 2011 hết hiệu lực thi hành kể từ ngày Thông tư này có hiệu lực.</w:t>
      </w:r>
    </w:p>
    <w:p w:rsidR="005405D7" w:rsidRPr="005405D7" w:rsidRDefault="005405D7" w:rsidP="005405D7">
      <w:pPr>
        <w:autoSpaceDE w:val="0"/>
        <w:autoSpaceDN w:val="0"/>
        <w:adjustRightInd w:val="0"/>
        <w:spacing w:after="120"/>
        <w:jc w:val="both"/>
        <w:rPr>
          <w:color w:val="000000"/>
          <w:sz w:val="28"/>
          <w:szCs w:val="28"/>
          <w:lang w:val="es-ES_tradnl"/>
        </w:rPr>
      </w:pPr>
      <w:r w:rsidRPr="005405D7">
        <w:rPr>
          <w:color w:val="000000"/>
          <w:sz w:val="28"/>
          <w:szCs w:val="28"/>
          <w:lang w:val="es-ES_tradnl"/>
        </w:rPr>
        <w:t>Trong quá trình tổ chức thực hiện, nếu có khó khăn vướng mắc đề nghị các đơn vị phản ánh về Bộ Y tế (Vụ Bảo hiểm y tế) để xem xét, giải quyết./.</w:t>
      </w:r>
    </w:p>
    <w:p w:rsidR="005405D7" w:rsidRPr="005405D7" w:rsidRDefault="005405D7" w:rsidP="005405D7">
      <w:pPr>
        <w:autoSpaceDE w:val="0"/>
        <w:autoSpaceDN w:val="0"/>
        <w:adjustRightInd w:val="0"/>
        <w:spacing w:after="120"/>
        <w:rPr>
          <w:spacing w:val="2"/>
          <w:sz w:val="28"/>
          <w:szCs w:val="28"/>
          <w:lang w:val="es-ES_tradnl"/>
        </w:rPr>
      </w:pPr>
    </w:p>
    <w:tbl>
      <w:tblPr>
        <w:tblW w:w="0" w:type="auto"/>
        <w:tblLayout w:type="fixed"/>
        <w:tblLook w:val="0000" w:firstRow="0" w:lastRow="0" w:firstColumn="0" w:lastColumn="0" w:noHBand="0" w:noVBand="0"/>
      </w:tblPr>
      <w:tblGrid>
        <w:gridCol w:w="4548"/>
        <w:gridCol w:w="4308"/>
      </w:tblGrid>
      <w:tr w:rsidR="005405D7" w:rsidRPr="005405D7" w:rsidTr="002A361E">
        <w:tc>
          <w:tcPr>
            <w:tcW w:w="4548" w:type="dxa"/>
          </w:tcPr>
          <w:p w:rsidR="005405D7" w:rsidRPr="005405D7" w:rsidRDefault="005405D7" w:rsidP="002A361E">
            <w:pPr>
              <w:autoSpaceDE w:val="0"/>
              <w:autoSpaceDN w:val="0"/>
              <w:adjustRightInd w:val="0"/>
              <w:spacing w:after="120"/>
              <w:rPr>
                <w:b/>
                <w:bCs/>
                <w:i/>
                <w:iCs/>
                <w:sz w:val="28"/>
                <w:szCs w:val="28"/>
                <w:lang w:val="es-ES_tradnl"/>
              </w:rPr>
            </w:pPr>
          </w:p>
          <w:p w:rsidR="005405D7" w:rsidRPr="005405D7" w:rsidRDefault="005405D7" w:rsidP="002A361E">
            <w:pPr>
              <w:autoSpaceDE w:val="0"/>
              <w:autoSpaceDN w:val="0"/>
              <w:adjustRightInd w:val="0"/>
              <w:spacing w:after="120"/>
              <w:rPr>
                <w:b/>
                <w:bCs/>
                <w:i/>
                <w:iCs/>
                <w:sz w:val="28"/>
                <w:szCs w:val="28"/>
              </w:rPr>
            </w:pPr>
            <w:r w:rsidRPr="005405D7">
              <w:rPr>
                <w:b/>
                <w:bCs/>
                <w:i/>
                <w:iCs/>
                <w:sz w:val="28"/>
                <w:szCs w:val="28"/>
                <w:lang w:val="es-ES_tradnl"/>
              </w:rPr>
              <w:t>N</w:t>
            </w:r>
            <w:r w:rsidRPr="005405D7">
              <w:rPr>
                <w:b/>
                <w:bCs/>
                <w:i/>
                <w:iCs/>
                <w:spacing w:val="1"/>
                <w:sz w:val="28"/>
                <w:szCs w:val="28"/>
                <w:lang w:val="es-ES_tradnl"/>
              </w:rPr>
              <w:t>ơ</w:t>
            </w:r>
            <w:r w:rsidRPr="005405D7">
              <w:rPr>
                <w:b/>
                <w:bCs/>
                <w:i/>
                <w:iCs/>
                <w:sz w:val="28"/>
                <w:szCs w:val="28"/>
                <w:lang w:val="es-ES_tradnl"/>
              </w:rPr>
              <w:t>i</w:t>
            </w:r>
            <w:r w:rsidRPr="005405D7">
              <w:rPr>
                <w:b/>
                <w:bCs/>
                <w:i/>
                <w:iCs/>
                <w:spacing w:val="1"/>
                <w:sz w:val="28"/>
                <w:szCs w:val="28"/>
                <w:lang w:val="es-ES_tradnl"/>
              </w:rPr>
              <w:t xml:space="preserve"> nh</w:t>
            </w:r>
            <w:r w:rsidRPr="005405D7">
              <w:rPr>
                <w:b/>
                <w:bCs/>
                <w:i/>
                <w:iCs/>
                <w:sz w:val="28"/>
                <w:szCs w:val="28"/>
                <w:lang w:val="es-ES_tradnl"/>
              </w:rPr>
              <w:t>ậ</w:t>
            </w:r>
            <w:r w:rsidRPr="005405D7">
              <w:rPr>
                <w:b/>
                <w:bCs/>
                <w:i/>
                <w:iCs/>
                <w:spacing w:val="-3"/>
                <w:sz w:val="28"/>
                <w:szCs w:val="28"/>
                <w:lang w:val="es-ES_tradnl"/>
              </w:rPr>
              <w:t>n</w:t>
            </w:r>
            <w:r w:rsidRPr="005405D7">
              <w:rPr>
                <w:b/>
                <w:bCs/>
                <w:i/>
                <w:iCs/>
                <w:sz w:val="28"/>
                <w:szCs w:val="28"/>
                <w:lang w:val="es-ES_tradnl"/>
              </w:rPr>
              <w:t>:</w:t>
            </w:r>
            <w:r w:rsidRPr="005405D7">
              <w:rPr>
                <w:b/>
                <w:i/>
                <w:sz w:val="28"/>
                <w:szCs w:val="28"/>
                <w:lang w:val="es-ES_tradnl"/>
              </w:rPr>
              <w:br/>
            </w:r>
            <w:r w:rsidRPr="005405D7">
              <w:rPr>
                <w:sz w:val="28"/>
                <w:szCs w:val="28"/>
                <w:lang w:val="es-ES_tradnl"/>
              </w:rPr>
              <w:t>- Văn phòng Chính phủ (Vụ KGVX; Công báo; Cổng thông tin điện tử)</w:t>
            </w:r>
            <w:r w:rsidRPr="005405D7">
              <w:rPr>
                <w:sz w:val="28"/>
                <w:szCs w:val="28"/>
                <w:lang w:val="pl-PL"/>
              </w:rPr>
              <w:t>;</w:t>
            </w:r>
            <w:r w:rsidRPr="005405D7">
              <w:rPr>
                <w:sz w:val="28"/>
                <w:szCs w:val="28"/>
                <w:lang w:val="pl-PL"/>
              </w:rPr>
              <w:br/>
              <w:t>- BT. Nguyễn Thị Kim Tiến (để báo cáo);</w:t>
            </w:r>
            <w:r w:rsidRPr="005405D7">
              <w:rPr>
                <w:sz w:val="28"/>
                <w:szCs w:val="28"/>
                <w:lang w:val="pl-PL"/>
              </w:rPr>
              <w:br/>
              <w:t>- Các Thứ trưởng khác (để phối hợp chỉ đạo);</w:t>
            </w:r>
            <w:r w:rsidRPr="005405D7">
              <w:rPr>
                <w:sz w:val="28"/>
                <w:szCs w:val="28"/>
                <w:lang w:val="pl-PL"/>
              </w:rPr>
              <w:br/>
              <w:t>- Các Bộ, cơ quan ngang Bộ, cơ quan thuộc CP;</w:t>
            </w:r>
            <w:r w:rsidRPr="005405D7">
              <w:rPr>
                <w:sz w:val="28"/>
                <w:szCs w:val="28"/>
                <w:lang w:val="pl-PL"/>
              </w:rPr>
              <w:br/>
              <w:t>- Bảo hiểm xã hội Việt Nam;</w:t>
            </w:r>
            <w:r w:rsidRPr="005405D7">
              <w:rPr>
                <w:sz w:val="28"/>
                <w:szCs w:val="28"/>
                <w:lang w:val="pl-PL"/>
              </w:rPr>
              <w:br/>
              <w:t>- UBND các tỉnh, thành phố trực thuộc TW;</w:t>
            </w:r>
            <w:r w:rsidRPr="005405D7">
              <w:rPr>
                <w:sz w:val="28"/>
                <w:szCs w:val="28"/>
                <w:lang w:val="pl-PL"/>
              </w:rPr>
              <w:br/>
              <w:t>- Kiểm toán Nhà nước;</w:t>
            </w:r>
            <w:r w:rsidRPr="005405D7">
              <w:rPr>
                <w:sz w:val="28"/>
                <w:szCs w:val="28"/>
                <w:lang w:val="pl-PL"/>
              </w:rPr>
              <w:br/>
              <w:t>- Sở Y tế các tỉnh, thành phố trực thuộc TW;</w:t>
            </w:r>
            <w:r w:rsidRPr="005405D7">
              <w:rPr>
                <w:sz w:val="28"/>
                <w:szCs w:val="28"/>
                <w:lang w:val="pl-PL"/>
              </w:rPr>
              <w:br/>
            </w:r>
            <w:r w:rsidRPr="005405D7">
              <w:rPr>
                <w:rFonts w:eastAsia="Batang"/>
                <w:sz w:val="28"/>
                <w:szCs w:val="28"/>
                <w:lang w:val="pl-PL"/>
              </w:rPr>
              <w:t>- Bảo hiểm xã hội Bộ Quốc phòng;</w:t>
            </w:r>
            <w:r w:rsidRPr="005405D7">
              <w:rPr>
                <w:rFonts w:eastAsia="Batang"/>
                <w:sz w:val="28"/>
                <w:szCs w:val="28"/>
                <w:lang w:val="pl-PL"/>
              </w:rPr>
              <w:br/>
            </w:r>
            <w:r w:rsidRPr="005405D7">
              <w:rPr>
                <w:sz w:val="28"/>
                <w:szCs w:val="28"/>
                <w:lang w:val="pl-PL"/>
              </w:rPr>
              <w:t>- Cục Kiểm tra văn bản QPPL (Bộ Tư pháp);</w:t>
            </w:r>
            <w:r w:rsidRPr="005405D7">
              <w:rPr>
                <w:sz w:val="28"/>
                <w:szCs w:val="28"/>
                <w:lang w:val="pl-PL"/>
              </w:rPr>
              <w:br/>
            </w:r>
            <w:r w:rsidRPr="005405D7">
              <w:rPr>
                <w:rFonts w:eastAsia="Batang"/>
                <w:sz w:val="28"/>
                <w:szCs w:val="28"/>
                <w:lang w:val="pl-PL"/>
              </w:rPr>
              <w:t>- Các BV, Viện có giường bệnh trực thuộc Bộ Y tế;</w:t>
            </w:r>
            <w:r w:rsidRPr="005405D7">
              <w:rPr>
                <w:rFonts w:eastAsia="Batang"/>
                <w:sz w:val="28"/>
                <w:szCs w:val="28"/>
                <w:lang w:val="pl-PL"/>
              </w:rPr>
              <w:br/>
              <w:t>- Cục Quân Y- BQP; Cục Y tế - BCA;</w:t>
            </w:r>
            <w:r w:rsidRPr="005405D7">
              <w:rPr>
                <w:rFonts w:eastAsia="Batang"/>
                <w:sz w:val="28"/>
                <w:szCs w:val="28"/>
                <w:lang w:val="pl-PL"/>
              </w:rPr>
              <w:br/>
              <w:t>Cục Y tế - Bộ GT - VT;</w:t>
            </w:r>
            <w:r w:rsidRPr="005405D7">
              <w:rPr>
                <w:rFonts w:eastAsia="Batang"/>
                <w:sz w:val="28"/>
                <w:szCs w:val="28"/>
                <w:lang w:val="pl-PL"/>
              </w:rPr>
              <w:br/>
            </w:r>
            <w:r w:rsidRPr="005405D7">
              <w:rPr>
                <w:rFonts w:eastAsia="Batang"/>
                <w:sz w:val="28"/>
                <w:szCs w:val="28"/>
                <w:lang w:val="es-ES"/>
              </w:rPr>
              <w:t>- Y tế các bộ, ngành;</w:t>
            </w:r>
            <w:r w:rsidRPr="005405D7">
              <w:rPr>
                <w:rFonts w:eastAsia="Batang"/>
                <w:sz w:val="28"/>
                <w:szCs w:val="28"/>
                <w:lang w:val="es-ES"/>
              </w:rPr>
              <w:br/>
            </w:r>
            <w:r w:rsidRPr="005405D7">
              <w:rPr>
                <w:rFonts w:eastAsia="Batang"/>
                <w:sz w:val="28"/>
                <w:szCs w:val="28"/>
                <w:lang w:val="pl-PL"/>
              </w:rPr>
              <w:t>- Các Vụ, Cục, Tổng cục, Văn phòng Bộ, Thanh tra Bộ;</w:t>
            </w:r>
            <w:r w:rsidRPr="005405D7">
              <w:rPr>
                <w:rFonts w:eastAsia="Batang"/>
                <w:sz w:val="28"/>
                <w:szCs w:val="28"/>
                <w:lang w:val="pl-PL"/>
              </w:rPr>
              <w:br/>
              <w:t>- Cổng thông tin điện tử BYT;</w:t>
            </w:r>
            <w:r w:rsidRPr="005405D7">
              <w:rPr>
                <w:rFonts w:eastAsia="Batang"/>
                <w:sz w:val="28"/>
                <w:szCs w:val="28"/>
                <w:lang w:val="pl-PL"/>
              </w:rPr>
              <w:br/>
            </w:r>
            <w:r w:rsidRPr="005405D7">
              <w:rPr>
                <w:rFonts w:eastAsia="Batang"/>
                <w:sz w:val="28"/>
                <w:szCs w:val="28"/>
                <w:lang w:val="nl-NL"/>
              </w:rPr>
              <w:t>- Lưu: VT, BH (02), PC (02).</w:t>
            </w:r>
          </w:p>
        </w:tc>
        <w:tc>
          <w:tcPr>
            <w:tcW w:w="4308" w:type="dxa"/>
          </w:tcPr>
          <w:p w:rsidR="005405D7" w:rsidRPr="005405D7" w:rsidRDefault="005405D7" w:rsidP="002A361E">
            <w:pPr>
              <w:autoSpaceDE w:val="0"/>
              <w:autoSpaceDN w:val="0"/>
              <w:adjustRightInd w:val="0"/>
              <w:spacing w:after="120"/>
              <w:jc w:val="center"/>
              <w:rPr>
                <w:b/>
                <w:bCs/>
                <w:i/>
                <w:iCs/>
                <w:sz w:val="28"/>
                <w:szCs w:val="28"/>
              </w:rPr>
            </w:pPr>
            <w:r w:rsidRPr="005405D7">
              <w:rPr>
                <w:b/>
                <w:bCs/>
                <w:spacing w:val="2"/>
                <w:sz w:val="28"/>
                <w:szCs w:val="28"/>
              </w:rPr>
              <w:t>KT. B</w:t>
            </w:r>
            <w:r w:rsidRPr="005405D7">
              <w:rPr>
                <w:b/>
                <w:bCs/>
                <w:sz w:val="28"/>
                <w:szCs w:val="28"/>
              </w:rPr>
              <w:t>Ộ</w:t>
            </w:r>
            <w:r w:rsidRPr="005405D7">
              <w:rPr>
                <w:b/>
                <w:bCs/>
                <w:spacing w:val="1"/>
                <w:sz w:val="28"/>
                <w:szCs w:val="28"/>
              </w:rPr>
              <w:t xml:space="preserve"> </w:t>
            </w:r>
            <w:r w:rsidRPr="005405D7">
              <w:rPr>
                <w:b/>
                <w:bCs/>
                <w:spacing w:val="2"/>
                <w:sz w:val="28"/>
                <w:szCs w:val="28"/>
              </w:rPr>
              <w:t>T</w:t>
            </w:r>
            <w:r w:rsidRPr="005405D7">
              <w:rPr>
                <w:b/>
                <w:bCs/>
                <w:spacing w:val="1"/>
                <w:sz w:val="28"/>
                <w:szCs w:val="28"/>
              </w:rPr>
              <w:t>R</w:t>
            </w:r>
            <w:r w:rsidRPr="005405D7">
              <w:rPr>
                <w:b/>
                <w:bCs/>
                <w:sz w:val="28"/>
                <w:szCs w:val="28"/>
              </w:rPr>
              <w:t>ƯỞ</w:t>
            </w:r>
            <w:r w:rsidRPr="005405D7">
              <w:rPr>
                <w:b/>
                <w:bCs/>
                <w:spacing w:val="1"/>
                <w:sz w:val="28"/>
                <w:szCs w:val="28"/>
              </w:rPr>
              <w:t>N</w:t>
            </w:r>
            <w:r w:rsidRPr="005405D7">
              <w:rPr>
                <w:b/>
                <w:bCs/>
                <w:sz w:val="28"/>
                <w:szCs w:val="28"/>
              </w:rPr>
              <w:t>G</w:t>
            </w:r>
            <w:r w:rsidRPr="005405D7">
              <w:rPr>
                <w:b/>
                <w:bCs/>
                <w:sz w:val="28"/>
                <w:szCs w:val="28"/>
              </w:rPr>
              <w:br/>
              <w:t>THỨ TRƯỞNG</w:t>
            </w:r>
            <w:r w:rsidRPr="005405D7">
              <w:rPr>
                <w:b/>
                <w:bCs/>
                <w:sz w:val="28"/>
                <w:szCs w:val="28"/>
              </w:rPr>
              <w:br/>
            </w:r>
            <w:r w:rsidRPr="005405D7">
              <w:rPr>
                <w:b/>
                <w:bCs/>
                <w:sz w:val="28"/>
                <w:szCs w:val="28"/>
              </w:rPr>
              <w:br/>
            </w:r>
            <w:r w:rsidRPr="005405D7">
              <w:rPr>
                <w:b/>
                <w:bCs/>
                <w:sz w:val="28"/>
                <w:szCs w:val="28"/>
              </w:rPr>
              <w:br/>
            </w:r>
            <w:r w:rsidRPr="005405D7">
              <w:rPr>
                <w:b/>
                <w:bCs/>
                <w:sz w:val="28"/>
                <w:szCs w:val="28"/>
              </w:rPr>
              <w:br/>
            </w:r>
            <w:r w:rsidRPr="005405D7">
              <w:rPr>
                <w:b/>
                <w:bCs/>
                <w:sz w:val="28"/>
                <w:szCs w:val="28"/>
              </w:rPr>
              <w:br/>
              <w:t>Nguyễn Thị Xuyên</w:t>
            </w:r>
          </w:p>
        </w:tc>
      </w:tr>
    </w:tbl>
    <w:p w:rsidR="005405D7" w:rsidRPr="005405D7" w:rsidRDefault="005405D7" w:rsidP="005405D7">
      <w:pPr>
        <w:autoSpaceDE w:val="0"/>
        <w:autoSpaceDN w:val="0"/>
        <w:adjustRightInd w:val="0"/>
        <w:spacing w:after="120"/>
        <w:rPr>
          <w:spacing w:val="2"/>
          <w:sz w:val="28"/>
          <w:szCs w:val="2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tblGrid>
      <w:tr w:rsidR="005405D7" w:rsidRPr="005405D7" w:rsidTr="002A361E">
        <w:trPr>
          <w:jc w:val="center"/>
        </w:trPr>
        <w:tc>
          <w:tcPr>
            <w:tcW w:w="5868" w:type="dxa"/>
          </w:tcPr>
          <w:p w:rsidR="005405D7" w:rsidRPr="005405D7" w:rsidRDefault="005405D7" w:rsidP="002A361E">
            <w:pPr>
              <w:spacing w:after="120"/>
              <w:jc w:val="center"/>
              <w:rPr>
                <w:b/>
                <w:color w:val="FF0000"/>
                <w:sz w:val="28"/>
                <w:szCs w:val="28"/>
                <w:lang w:val="nb-NO"/>
              </w:rPr>
            </w:pPr>
          </w:p>
          <w:p w:rsidR="005405D7" w:rsidRPr="005405D7" w:rsidRDefault="005405D7" w:rsidP="002A361E">
            <w:pPr>
              <w:spacing w:after="120"/>
              <w:jc w:val="center"/>
              <w:rPr>
                <w:b/>
                <w:color w:val="FF0000"/>
                <w:sz w:val="28"/>
                <w:szCs w:val="28"/>
                <w:lang w:val="nb-NO"/>
              </w:rPr>
            </w:pPr>
            <w:bookmarkStart w:id="10" w:name="loai_pl1"/>
            <w:r w:rsidRPr="005405D7">
              <w:rPr>
                <w:b/>
                <w:color w:val="FF0000"/>
                <w:sz w:val="28"/>
                <w:szCs w:val="28"/>
                <w:lang w:val="nb-NO"/>
              </w:rPr>
              <w:t>FILE ĐƯỢC ĐÍNH KÈM THEO VĂN BẢN</w:t>
            </w:r>
          </w:p>
          <w:bookmarkEnd w:id="10"/>
          <w:p w:rsidR="005405D7" w:rsidRPr="005405D7" w:rsidRDefault="005405D7" w:rsidP="002A361E">
            <w:pPr>
              <w:spacing w:after="120"/>
              <w:jc w:val="center"/>
              <w:rPr>
                <w:b/>
                <w:color w:val="FF0000"/>
                <w:sz w:val="28"/>
                <w:szCs w:val="28"/>
                <w:lang w:val="nb-NO"/>
              </w:rPr>
            </w:pPr>
            <w:r w:rsidRPr="005405D7">
              <w:rPr>
                <w:sz w:val="28"/>
                <w:szCs w:val="28"/>
              </w:rPr>
              <w:object w:dxaOrig="1833" w:dyaOrig="1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mso-wrap-style:square;mso-position-horizontal-relative:page;mso-position-vertical-relative:page" o:ole="">
                  <v:imagedata r:id="rId7" o:title=""/>
                </v:shape>
                <o:OLEObject Type="Embed" ProgID="Excel.Sheet.8" ShapeID="_x0000_i1025" DrawAspect="Icon" ObjectID="_1650656233" r:id="rId8"/>
              </w:object>
            </w:r>
            <w:r w:rsidRPr="005405D7">
              <w:rPr>
                <w:sz w:val="28"/>
                <w:szCs w:val="28"/>
              </w:rPr>
              <w:object w:dxaOrig="1833" w:dyaOrig="1192">
                <v:shape id="_x0000_i1026" type="#_x0000_t75" style="width:76.5pt;height:49.5pt;mso-wrap-style:square;mso-position-horizontal-relative:page;mso-position-vertical-relative:page" o:ole="">
                  <v:imagedata r:id="rId9" o:title=""/>
                </v:shape>
                <o:OLEObject Type="Embed" ProgID="Excel.Sheet.8" ShapeID="_x0000_i1026" DrawAspect="Icon" ObjectID="_1650656234" r:id="rId10"/>
              </w:object>
            </w:r>
          </w:p>
        </w:tc>
      </w:tr>
    </w:tbl>
    <w:p w:rsidR="005405D7" w:rsidRPr="005405D7" w:rsidRDefault="005405D7" w:rsidP="005405D7">
      <w:pPr>
        <w:spacing w:after="120"/>
        <w:rPr>
          <w:sz w:val="28"/>
          <w:szCs w:val="28"/>
        </w:rPr>
      </w:pPr>
    </w:p>
    <w:p w:rsidR="005405D7" w:rsidRPr="005405D7" w:rsidRDefault="005405D7" w:rsidP="005405D7">
      <w:pPr>
        <w:spacing w:after="120"/>
        <w:rPr>
          <w:sz w:val="28"/>
          <w:szCs w:val="28"/>
        </w:rPr>
        <w:sectPr w:rsidR="005405D7" w:rsidRPr="005405D7">
          <w:footerReference w:type="even" r:id="rId11"/>
          <w:footerReference w:type="default" r:id="rId12"/>
          <w:pgSz w:w="11907" w:h="16840"/>
          <w:pgMar w:top="567" w:right="1134" w:bottom="567" w:left="1701" w:header="720" w:footer="720" w:gutter="0"/>
          <w:pgNumType w:start="1"/>
          <w:cols w:space="720"/>
          <w:docGrid w:linePitch="381"/>
        </w:sectPr>
      </w:pPr>
    </w:p>
    <w:p w:rsidR="005405D7" w:rsidRPr="005405D7" w:rsidRDefault="005405D7" w:rsidP="005405D7">
      <w:pPr>
        <w:spacing w:after="120"/>
        <w:jc w:val="center"/>
        <w:rPr>
          <w:b/>
          <w:sz w:val="28"/>
          <w:szCs w:val="28"/>
        </w:rPr>
      </w:pPr>
      <w:bookmarkStart w:id="11" w:name="loai_pl2"/>
      <w:r w:rsidRPr="005405D7">
        <w:rPr>
          <w:b/>
          <w:sz w:val="28"/>
          <w:szCs w:val="28"/>
        </w:rPr>
        <w:t>PHỤ LỤC SỐ 01</w:t>
      </w:r>
    </w:p>
    <w:p w:rsidR="005405D7" w:rsidRPr="005405D7" w:rsidRDefault="005405D7" w:rsidP="005405D7">
      <w:pPr>
        <w:spacing w:after="120"/>
        <w:jc w:val="center"/>
        <w:rPr>
          <w:i/>
          <w:sz w:val="28"/>
          <w:szCs w:val="28"/>
        </w:rPr>
      </w:pPr>
      <w:bookmarkStart w:id="12" w:name="loai_pl2_name"/>
      <w:bookmarkEnd w:id="11"/>
      <w:r w:rsidRPr="005405D7">
        <w:rPr>
          <w:sz w:val="28"/>
          <w:szCs w:val="28"/>
        </w:rPr>
        <w:t>DANH MỤC THUỐC SỬ DỤNG TẠI CƠ SỞ KHÁM BỆNH, CHỮA BỆNH THUỘC PHẠM VI THANH TOÁN CỦA QUỸ BẢO HIỂM Y TẾ</w:t>
      </w:r>
      <w:r w:rsidRPr="005405D7">
        <w:rPr>
          <w:sz w:val="28"/>
          <w:szCs w:val="28"/>
        </w:rPr>
        <w:br/>
      </w:r>
      <w:bookmarkEnd w:id="12"/>
      <w:r w:rsidRPr="005405D7">
        <w:rPr>
          <w:i/>
          <w:sz w:val="28"/>
          <w:szCs w:val="28"/>
        </w:rPr>
        <w:t>(Ban hành kèm theo Thông tư số 40/2014/TT-BYT ngày 17 tháng 11 năm 2014 của Bộ trưởng Bộ Y tế)</w:t>
      </w:r>
    </w:p>
    <w:tbl>
      <w:tblPr>
        <w:tblW w:w="0" w:type="auto"/>
        <w:jc w:val="center"/>
        <w:tblLayout w:type="fixed"/>
        <w:tblLook w:val="0000" w:firstRow="0" w:lastRow="0" w:firstColumn="0" w:lastColumn="0" w:noHBand="0" w:noVBand="0"/>
      </w:tblPr>
      <w:tblGrid>
        <w:gridCol w:w="3451"/>
        <w:gridCol w:w="6449"/>
      </w:tblGrid>
      <w:tr w:rsidR="005405D7" w:rsidRPr="005405D7" w:rsidTr="005405D7">
        <w:trPr>
          <w:jc w:val="center"/>
        </w:trPr>
        <w:tc>
          <w:tcPr>
            <w:tcW w:w="3451" w:type="dxa"/>
          </w:tcPr>
          <w:p w:rsidR="005405D7" w:rsidRPr="005405D7" w:rsidRDefault="005405D7" w:rsidP="002A361E">
            <w:pPr>
              <w:tabs>
                <w:tab w:val="left" w:pos="5580"/>
              </w:tabs>
              <w:spacing w:after="120"/>
              <w:jc w:val="center"/>
              <w:rPr>
                <w:b/>
                <w:bCs/>
                <w:sz w:val="28"/>
                <w:szCs w:val="28"/>
              </w:rPr>
            </w:pPr>
            <w:r w:rsidRPr="005405D7">
              <w:rPr>
                <w:bCs/>
                <w:sz w:val="28"/>
                <w:szCs w:val="28"/>
              </w:rPr>
              <w:t>BỘ Y TẾ/ SỞ Y TẾ</w:t>
            </w:r>
            <w:r w:rsidRPr="005405D7">
              <w:rPr>
                <w:bCs/>
                <w:sz w:val="28"/>
                <w:szCs w:val="28"/>
              </w:rPr>
              <w:br/>
            </w:r>
            <w:r w:rsidRPr="005405D7">
              <w:rPr>
                <w:b/>
                <w:bCs/>
                <w:sz w:val="28"/>
                <w:szCs w:val="28"/>
              </w:rPr>
              <w:t>TÊN CƠ SỞ KHÁM BỆNH, CHỮA BỆNH</w:t>
            </w:r>
            <w:r w:rsidRPr="005405D7">
              <w:rPr>
                <w:b/>
                <w:bCs/>
                <w:sz w:val="28"/>
                <w:szCs w:val="28"/>
              </w:rPr>
              <w:br/>
              <w:t>--------</w:t>
            </w:r>
          </w:p>
        </w:tc>
        <w:tc>
          <w:tcPr>
            <w:tcW w:w="6449" w:type="dxa"/>
          </w:tcPr>
          <w:p w:rsidR="005405D7" w:rsidRPr="005405D7" w:rsidRDefault="005405D7" w:rsidP="002A361E">
            <w:pPr>
              <w:tabs>
                <w:tab w:val="left" w:pos="5580"/>
              </w:tabs>
              <w:spacing w:after="120"/>
              <w:jc w:val="center"/>
              <w:rPr>
                <w:b/>
                <w:bCs/>
                <w:sz w:val="28"/>
                <w:szCs w:val="28"/>
              </w:rPr>
            </w:pPr>
            <w:r w:rsidRPr="005405D7">
              <w:rPr>
                <w:b/>
                <w:bCs/>
                <w:sz w:val="28"/>
                <w:szCs w:val="28"/>
              </w:rPr>
              <w:t>CỘNG HÒA XÃ HỘI CHỦ NGHĨA VIỆT NAM</w:t>
            </w:r>
            <w:r w:rsidRPr="005405D7">
              <w:rPr>
                <w:b/>
                <w:bCs/>
                <w:sz w:val="28"/>
                <w:szCs w:val="28"/>
              </w:rPr>
              <w:br/>
              <w:t>Độc lập - Tự do - Hạnh phúc</w:t>
            </w:r>
            <w:r w:rsidRPr="005405D7">
              <w:rPr>
                <w:b/>
                <w:bCs/>
                <w:sz w:val="28"/>
                <w:szCs w:val="28"/>
              </w:rPr>
              <w:br/>
              <w:t>---------------</w:t>
            </w:r>
          </w:p>
        </w:tc>
      </w:tr>
      <w:tr w:rsidR="005405D7" w:rsidRPr="005405D7" w:rsidTr="005405D7">
        <w:trPr>
          <w:jc w:val="center"/>
        </w:trPr>
        <w:tc>
          <w:tcPr>
            <w:tcW w:w="3451" w:type="dxa"/>
          </w:tcPr>
          <w:p w:rsidR="005405D7" w:rsidRPr="005405D7" w:rsidRDefault="005405D7" w:rsidP="002A361E">
            <w:pPr>
              <w:tabs>
                <w:tab w:val="left" w:pos="5580"/>
              </w:tabs>
              <w:spacing w:after="120"/>
              <w:jc w:val="center"/>
              <w:rPr>
                <w:bCs/>
                <w:sz w:val="28"/>
                <w:szCs w:val="28"/>
              </w:rPr>
            </w:pPr>
            <w:r w:rsidRPr="005405D7">
              <w:rPr>
                <w:bCs/>
                <w:sz w:val="28"/>
                <w:szCs w:val="28"/>
              </w:rPr>
              <w:t>Số: …… /……</w:t>
            </w:r>
          </w:p>
        </w:tc>
        <w:tc>
          <w:tcPr>
            <w:tcW w:w="6449" w:type="dxa"/>
          </w:tcPr>
          <w:p w:rsidR="005405D7" w:rsidRPr="005405D7" w:rsidRDefault="005405D7" w:rsidP="002A361E">
            <w:pPr>
              <w:tabs>
                <w:tab w:val="left" w:pos="5580"/>
              </w:tabs>
              <w:spacing w:after="120"/>
              <w:jc w:val="right"/>
              <w:rPr>
                <w:b/>
                <w:bCs/>
                <w:sz w:val="28"/>
                <w:szCs w:val="28"/>
              </w:rPr>
            </w:pPr>
            <w:r w:rsidRPr="005405D7">
              <w:rPr>
                <w:bCs/>
                <w:i/>
                <w:sz w:val="28"/>
                <w:szCs w:val="28"/>
              </w:rPr>
              <w:t>................, ngày...........tháng...........năm...........</w:t>
            </w:r>
          </w:p>
        </w:tc>
      </w:tr>
    </w:tbl>
    <w:p w:rsidR="005405D7" w:rsidRPr="005405D7" w:rsidRDefault="005405D7" w:rsidP="005405D7">
      <w:pPr>
        <w:tabs>
          <w:tab w:val="left" w:pos="5580"/>
        </w:tabs>
        <w:spacing w:after="120"/>
        <w:rPr>
          <w:b/>
          <w:bCs/>
          <w:sz w:val="28"/>
          <w:szCs w:val="28"/>
        </w:rPr>
      </w:pPr>
    </w:p>
    <w:p w:rsidR="005405D7" w:rsidRPr="005405D7" w:rsidRDefault="005405D7" w:rsidP="005405D7">
      <w:pPr>
        <w:tabs>
          <w:tab w:val="left" w:pos="5580"/>
        </w:tabs>
        <w:spacing w:after="120"/>
        <w:jc w:val="center"/>
        <w:rPr>
          <w:b/>
          <w:bCs/>
          <w:sz w:val="28"/>
          <w:szCs w:val="28"/>
        </w:rPr>
      </w:pPr>
      <w:r w:rsidRPr="005405D7">
        <w:rPr>
          <w:b/>
          <w:bCs/>
          <w:sz w:val="28"/>
          <w:szCs w:val="28"/>
        </w:rPr>
        <w:t>DANH MỤC THUỐC SỬ DỤNG TẠI .........(</w:t>
      </w:r>
      <w:r w:rsidRPr="005405D7">
        <w:rPr>
          <w:bCs/>
          <w:i/>
          <w:sz w:val="28"/>
          <w:szCs w:val="28"/>
        </w:rPr>
        <w:t>tên cơ sở KBCB</w:t>
      </w:r>
      <w:r w:rsidRPr="005405D7">
        <w:rPr>
          <w:b/>
          <w:bCs/>
          <w:sz w:val="28"/>
          <w:szCs w:val="28"/>
        </w:rPr>
        <w:t xml:space="preserve">) THUỘC PHẠM VI THANH TOÁN CỦA QUỸ BẢO HIỂM Y TẾ </w:t>
      </w:r>
    </w:p>
    <w:p w:rsidR="005405D7" w:rsidRPr="005405D7" w:rsidRDefault="005405D7" w:rsidP="005405D7">
      <w:pPr>
        <w:tabs>
          <w:tab w:val="left" w:pos="5580"/>
        </w:tabs>
        <w:spacing w:after="120"/>
        <w:jc w:val="center"/>
        <w:rPr>
          <w:b/>
          <w:bCs/>
          <w:sz w:val="28"/>
          <w:szCs w:val="28"/>
        </w:rPr>
      </w:pPr>
      <w:r w:rsidRPr="005405D7">
        <w:rPr>
          <w:b/>
          <w:bCs/>
          <w:sz w:val="28"/>
          <w:szCs w:val="28"/>
        </w:rPr>
        <w:t>(Áp dụng kể từ ngày…/…/….)</w:t>
      </w:r>
    </w:p>
    <w:tbl>
      <w:tblPr>
        <w:tblW w:w="0" w:type="auto"/>
        <w:jc w:val="center"/>
        <w:tblLayout w:type="fixed"/>
        <w:tblLook w:val="0000" w:firstRow="0" w:lastRow="0" w:firstColumn="0" w:lastColumn="0" w:noHBand="0" w:noVBand="0"/>
      </w:tblPr>
      <w:tblGrid>
        <w:gridCol w:w="701"/>
        <w:gridCol w:w="1817"/>
        <w:gridCol w:w="1088"/>
        <w:gridCol w:w="1405"/>
        <w:gridCol w:w="1937"/>
        <w:gridCol w:w="804"/>
        <w:gridCol w:w="695"/>
        <w:gridCol w:w="1000"/>
        <w:gridCol w:w="883"/>
        <w:gridCol w:w="841"/>
        <w:gridCol w:w="606"/>
        <w:gridCol w:w="750"/>
        <w:gridCol w:w="1161"/>
      </w:tblGrid>
      <w:tr w:rsidR="005405D7" w:rsidRPr="005405D7" w:rsidTr="002A361E">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STT</w:t>
            </w:r>
          </w:p>
        </w:tc>
        <w:tc>
          <w:tcPr>
            <w:tcW w:w="1817"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STT/ mã số theo DMT do BYT ban hành</w:t>
            </w:r>
          </w:p>
        </w:tc>
        <w:tc>
          <w:tcPr>
            <w:tcW w:w="1088"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Tên hoạt chất</w:t>
            </w:r>
          </w:p>
        </w:tc>
        <w:tc>
          <w:tcPr>
            <w:tcW w:w="1405"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Tên thuốc thành phẩm</w:t>
            </w:r>
          </w:p>
        </w:tc>
        <w:tc>
          <w:tcPr>
            <w:tcW w:w="1937"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Đường dùng/ dạng bào chế</w:t>
            </w:r>
          </w:p>
        </w:tc>
        <w:tc>
          <w:tcPr>
            <w:tcW w:w="804"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5405D7">
            <w:pPr>
              <w:spacing w:after="120"/>
              <w:ind w:left="-134"/>
              <w:jc w:val="center"/>
              <w:rPr>
                <w:sz w:val="28"/>
                <w:szCs w:val="28"/>
              </w:rPr>
            </w:pPr>
            <w:r w:rsidRPr="005405D7">
              <w:rPr>
                <w:sz w:val="28"/>
                <w:szCs w:val="28"/>
              </w:rPr>
              <w:t>Hàm lượng/ nồng độ</w:t>
            </w:r>
          </w:p>
        </w:tc>
        <w:tc>
          <w:tcPr>
            <w:tcW w:w="695"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5405D7">
            <w:pPr>
              <w:spacing w:after="120"/>
              <w:ind w:left="-119" w:right="-30"/>
              <w:jc w:val="center"/>
              <w:rPr>
                <w:sz w:val="28"/>
                <w:szCs w:val="28"/>
              </w:rPr>
            </w:pPr>
            <w:r w:rsidRPr="005405D7">
              <w:rPr>
                <w:sz w:val="28"/>
                <w:szCs w:val="28"/>
              </w:rPr>
              <w:t>Hãng sản xuất</w:t>
            </w:r>
          </w:p>
        </w:tc>
        <w:tc>
          <w:tcPr>
            <w:tcW w:w="1000"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Nước sản xuất</w:t>
            </w:r>
          </w:p>
        </w:tc>
        <w:tc>
          <w:tcPr>
            <w:tcW w:w="883"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jc w:val="center"/>
              <w:rPr>
                <w:sz w:val="28"/>
                <w:szCs w:val="28"/>
              </w:rPr>
            </w:pPr>
            <w:r w:rsidRPr="005405D7">
              <w:rPr>
                <w:sz w:val="28"/>
                <w:szCs w:val="28"/>
              </w:rPr>
              <w:t>Số đăng ký/Giấy phép nhập khẩu</w:t>
            </w:r>
          </w:p>
        </w:tc>
        <w:tc>
          <w:tcPr>
            <w:tcW w:w="841"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Đơn vị tính</w:t>
            </w:r>
          </w:p>
        </w:tc>
        <w:tc>
          <w:tcPr>
            <w:tcW w:w="606"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5405D7">
            <w:pPr>
              <w:spacing w:after="120"/>
              <w:ind w:left="-119" w:right="-120"/>
              <w:jc w:val="center"/>
              <w:rPr>
                <w:sz w:val="28"/>
                <w:szCs w:val="28"/>
              </w:rPr>
            </w:pPr>
            <w:r w:rsidRPr="005405D7">
              <w:rPr>
                <w:sz w:val="28"/>
                <w:szCs w:val="28"/>
              </w:rPr>
              <w:t>Giá mua vào (đ)</w:t>
            </w:r>
          </w:p>
        </w:tc>
        <w:tc>
          <w:tcPr>
            <w:tcW w:w="750"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5405D7">
            <w:pPr>
              <w:spacing w:after="120"/>
              <w:ind w:left="-104" w:right="-90"/>
              <w:jc w:val="center"/>
              <w:rPr>
                <w:sz w:val="28"/>
                <w:szCs w:val="28"/>
              </w:rPr>
            </w:pPr>
            <w:r w:rsidRPr="005405D7">
              <w:rPr>
                <w:sz w:val="28"/>
                <w:szCs w:val="28"/>
              </w:rPr>
              <w:t>Giá thanh toán BHYT (đ)</w:t>
            </w:r>
          </w:p>
        </w:tc>
        <w:tc>
          <w:tcPr>
            <w:tcW w:w="1161"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Ghi chú</w:t>
            </w: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(1)</w:t>
            </w:r>
          </w:p>
        </w:tc>
        <w:tc>
          <w:tcPr>
            <w:tcW w:w="1817" w:type="dxa"/>
            <w:tcBorders>
              <w:top w:val="nil"/>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(2)</w:t>
            </w:r>
          </w:p>
        </w:tc>
        <w:tc>
          <w:tcPr>
            <w:tcW w:w="1088"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(3)</w:t>
            </w:r>
          </w:p>
        </w:tc>
        <w:tc>
          <w:tcPr>
            <w:tcW w:w="1405" w:type="dxa"/>
            <w:tcBorders>
              <w:top w:val="nil"/>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(4)</w:t>
            </w:r>
          </w:p>
        </w:tc>
        <w:tc>
          <w:tcPr>
            <w:tcW w:w="1937" w:type="dxa"/>
            <w:tcBorders>
              <w:top w:val="nil"/>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(5)</w:t>
            </w:r>
          </w:p>
        </w:tc>
        <w:tc>
          <w:tcPr>
            <w:tcW w:w="804"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(6)</w:t>
            </w:r>
          </w:p>
        </w:tc>
        <w:tc>
          <w:tcPr>
            <w:tcW w:w="695"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(7)</w:t>
            </w:r>
          </w:p>
        </w:tc>
        <w:tc>
          <w:tcPr>
            <w:tcW w:w="1000" w:type="dxa"/>
            <w:tcBorders>
              <w:top w:val="nil"/>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(8)</w:t>
            </w: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jc w:val="center"/>
              <w:rPr>
                <w:sz w:val="28"/>
                <w:szCs w:val="28"/>
              </w:rPr>
            </w:pPr>
          </w:p>
        </w:tc>
        <w:tc>
          <w:tcPr>
            <w:tcW w:w="841" w:type="dxa"/>
            <w:tcBorders>
              <w:top w:val="nil"/>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(9)</w:t>
            </w:r>
          </w:p>
        </w:tc>
        <w:tc>
          <w:tcPr>
            <w:tcW w:w="606"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(10)</w:t>
            </w:r>
          </w:p>
        </w:tc>
        <w:tc>
          <w:tcPr>
            <w:tcW w:w="750"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(11)</w:t>
            </w:r>
          </w:p>
        </w:tc>
        <w:tc>
          <w:tcPr>
            <w:tcW w:w="1161" w:type="dxa"/>
            <w:tcBorders>
              <w:top w:val="nil"/>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(12)</w:t>
            </w: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6247" w:type="dxa"/>
            <w:gridSpan w:val="4"/>
            <w:tcBorders>
              <w:top w:val="nil"/>
              <w:left w:val="nil"/>
              <w:bottom w:val="single" w:sz="4" w:space="0" w:color="auto"/>
              <w:right w:val="single" w:sz="4" w:space="0" w:color="auto"/>
            </w:tcBorders>
            <w:vAlign w:val="bottom"/>
          </w:tcPr>
          <w:p w:rsidR="005405D7" w:rsidRPr="005405D7" w:rsidRDefault="005405D7" w:rsidP="002A361E">
            <w:pPr>
              <w:numPr>
                <w:ilvl w:val="0"/>
                <w:numId w:val="1"/>
              </w:numPr>
              <w:spacing w:after="120"/>
              <w:ind w:left="0" w:firstLine="0"/>
              <w:rPr>
                <w:b/>
                <w:sz w:val="28"/>
                <w:szCs w:val="28"/>
              </w:rPr>
            </w:pPr>
            <w:r w:rsidRPr="005405D7">
              <w:rPr>
                <w:b/>
                <w:sz w:val="28"/>
                <w:szCs w:val="28"/>
              </w:rPr>
              <w:t>Danh mục thuốc được thanh toán 100%</w:t>
            </w: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6247" w:type="dxa"/>
            <w:gridSpan w:val="4"/>
            <w:tcBorders>
              <w:top w:val="nil"/>
              <w:left w:val="nil"/>
              <w:bottom w:val="single" w:sz="4" w:space="0" w:color="auto"/>
              <w:right w:val="single" w:sz="4" w:space="0" w:color="auto"/>
            </w:tcBorders>
            <w:vAlign w:val="bottom"/>
          </w:tcPr>
          <w:p w:rsidR="005405D7" w:rsidRPr="005405D7" w:rsidRDefault="005405D7" w:rsidP="002A361E">
            <w:pPr>
              <w:numPr>
                <w:ilvl w:val="0"/>
                <w:numId w:val="2"/>
              </w:numPr>
              <w:spacing w:after="120"/>
              <w:ind w:left="0" w:firstLine="0"/>
              <w:rPr>
                <w:sz w:val="28"/>
                <w:szCs w:val="28"/>
              </w:rPr>
            </w:pPr>
            <w:r w:rsidRPr="005405D7">
              <w:rPr>
                <w:sz w:val="28"/>
                <w:szCs w:val="28"/>
              </w:rPr>
              <w:t>Thuốc có trong danh mục</w:t>
            </w: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181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1088"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1405"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193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6247" w:type="dxa"/>
            <w:gridSpan w:val="4"/>
            <w:tcBorders>
              <w:top w:val="nil"/>
              <w:left w:val="nil"/>
              <w:bottom w:val="single" w:sz="4" w:space="0" w:color="auto"/>
              <w:right w:val="single" w:sz="4" w:space="0" w:color="auto"/>
            </w:tcBorders>
            <w:vAlign w:val="bottom"/>
          </w:tcPr>
          <w:p w:rsidR="005405D7" w:rsidRPr="005405D7" w:rsidRDefault="005405D7" w:rsidP="002A361E">
            <w:pPr>
              <w:numPr>
                <w:ilvl w:val="0"/>
                <w:numId w:val="2"/>
              </w:numPr>
              <w:spacing w:after="120"/>
              <w:ind w:left="0" w:firstLine="0"/>
              <w:rPr>
                <w:sz w:val="28"/>
                <w:szCs w:val="28"/>
              </w:rPr>
            </w:pPr>
            <w:r w:rsidRPr="005405D7">
              <w:rPr>
                <w:sz w:val="28"/>
                <w:szCs w:val="28"/>
              </w:rPr>
              <w:t>Thuốc phối hợp nhiều hoạt chất</w:t>
            </w: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181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1088"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1405"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193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r w:rsidRPr="005405D7">
              <w:rPr>
                <w:sz w:val="28"/>
                <w:szCs w:val="28"/>
              </w:rPr>
              <w:t> </w:t>
            </w: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6247" w:type="dxa"/>
            <w:gridSpan w:val="4"/>
            <w:tcBorders>
              <w:top w:val="nil"/>
              <w:left w:val="nil"/>
              <w:bottom w:val="single" w:sz="4" w:space="0" w:color="auto"/>
              <w:right w:val="single" w:sz="4" w:space="0" w:color="auto"/>
            </w:tcBorders>
            <w:vAlign w:val="bottom"/>
          </w:tcPr>
          <w:p w:rsidR="005405D7" w:rsidRPr="005405D7" w:rsidRDefault="005405D7" w:rsidP="002A361E">
            <w:pPr>
              <w:numPr>
                <w:ilvl w:val="0"/>
                <w:numId w:val="2"/>
              </w:numPr>
              <w:spacing w:after="120"/>
              <w:ind w:left="0" w:firstLine="0"/>
              <w:rPr>
                <w:sz w:val="28"/>
                <w:szCs w:val="28"/>
              </w:rPr>
            </w:pPr>
            <w:r w:rsidRPr="005405D7">
              <w:rPr>
                <w:sz w:val="28"/>
                <w:szCs w:val="28"/>
              </w:rPr>
              <w:t>Thuốc vượt tuyến chuyên môn kỹ thuật (nếu có)</w:t>
            </w: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181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1088"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1405"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193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6247" w:type="dxa"/>
            <w:gridSpan w:val="4"/>
            <w:tcBorders>
              <w:top w:val="nil"/>
              <w:left w:val="nil"/>
              <w:bottom w:val="single" w:sz="4" w:space="0" w:color="auto"/>
              <w:right w:val="single" w:sz="4" w:space="0" w:color="auto"/>
            </w:tcBorders>
            <w:vAlign w:val="bottom"/>
          </w:tcPr>
          <w:p w:rsidR="005405D7" w:rsidRPr="005405D7" w:rsidRDefault="005405D7" w:rsidP="002A361E">
            <w:pPr>
              <w:numPr>
                <w:ilvl w:val="0"/>
                <w:numId w:val="2"/>
              </w:numPr>
              <w:spacing w:after="120"/>
              <w:ind w:left="0" w:firstLine="0"/>
              <w:rPr>
                <w:sz w:val="28"/>
                <w:szCs w:val="28"/>
              </w:rPr>
            </w:pPr>
            <w:r w:rsidRPr="005405D7">
              <w:rPr>
                <w:sz w:val="28"/>
                <w:szCs w:val="28"/>
              </w:rPr>
              <w:t>Thuốc chuyên khoa do cơ sở KCB tự pha chế (nếu có)</w:t>
            </w: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181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1088"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1405"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193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6247" w:type="dxa"/>
            <w:gridSpan w:val="4"/>
            <w:tcBorders>
              <w:top w:val="nil"/>
              <w:left w:val="nil"/>
              <w:bottom w:val="single" w:sz="4" w:space="0" w:color="auto"/>
              <w:right w:val="single" w:sz="4" w:space="0" w:color="auto"/>
            </w:tcBorders>
            <w:vAlign w:val="bottom"/>
          </w:tcPr>
          <w:p w:rsidR="005405D7" w:rsidRPr="005405D7" w:rsidRDefault="005405D7" w:rsidP="002A361E">
            <w:pPr>
              <w:numPr>
                <w:ilvl w:val="0"/>
                <w:numId w:val="1"/>
              </w:numPr>
              <w:spacing w:after="120"/>
              <w:ind w:left="0" w:firstLine="0"/>
              <w:rPr>
                <w:b/>
                <w:sz w:val="28"/>
                <w:szCs w:val="28"/>
              </w:rPr>
            </w:pPr>
            <w:r w:rsidRPr="005405D7">
              <w:rPr>
                <w:b/>
                <w:sz w:val="28"/>
                <w:szCs w:val="28"/>
              </w:rPr>
              <w:t>Danh mục thuốc được thanh toán 50%, 30%</w:t>
            </w: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181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1088"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1405"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1937" w:type="dxa"/>
            <w:tcBorders>
              <w:top w:val="nil"/>
              <w:left w:val="nil"/>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804"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695"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000"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883" w:type="dxa"/>
            <w:tcBorders>
              <w:top w:val="single" w:sz="4" w:space="0" w:color="auto"/>
              <w:left w:val="nil"/>
              <w:bottom w:val="single" w:sz="4" w:space="0" w:color="auto"/>
              <w:right w:val="single" w:sz="4" w:space="0" w:color="auto"/>
            </w:tcBorders>
          </w:tcPr>
          <w:p w:rsidR="005405D7" w:rsidRPr="005405D7" w:rsidRDefault="005405D7" w:rsidP="002A361E">
            <w:pPr>
              <w:spacing w:after="120"/>
              <w:rPr>
                <w:sz w:val="28"/>
                <w:szCs w:val="28"/>
              </w:rPr>
            </w:pPr>
          </w:p>
        </w:tc>
        <w:tc>
          <w:tcPr>
            <w:tcW w:w="84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c>
          <w:tcPr>
            <w:tcW w:w="606"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750" w:type="dxa"/>
            <w:tcBorders>
              <w:top w:val="single" w:sz="4" w:space="0" w:color="auto"/>
              <w:left w:val="single" w:sz="4" w:space="0" w:color="auto"/>
              <w:bottom w:val="single" w:sz="4" w:space="0" w:color="auto"/>
              <w:right w:val="single" w:sz="4" w:space="0" w:color="auto"/>
            </w:tcBorders>
          </w:tcPr>
          <w:p w:rsidR="005405D7" w:rsidRPr="005405D7" w:rsidRDefault="005405D7" w:rsidP="002A361E">
            <w:pPr>
              <w:spacing w:after="120"/>
              <w:rPr>
                <w:sz w:val="28"/>
                <w:szCs w:val="28"/>
              </w:rPr>
            </w:pPr>
          </w:p>
        </w:tc>
        <w:tc>
          <w:tcPr>
            <w:tcW w:w="1161" w:type="dxa"/>
            <w:tcBorders>
              <w:top w:val="nil"/>
              <w:left w:val="single" w:sz="4" w:space="0" w:color="auto"/>
              <w:bottom w:val="single" w:sz="4" w:space="0" w:color="auto"/>
              <w:right w:val="single" w:sz="4" w:space="0" w:color="auto"/>
            </w:tcBorders>
            <w:vAlign w:val="bottom"/>
          </w:tcPr>
          <w:p w:rsidR="005405D7" w:rsidRPr="005405D7" w:rsidRDefault="005405D7" w:rsidP="002A361E">
            <w:pPr>
              <w:spacing w:after="120"/>
              <w:rPr>
                <w:sz w:val="28"/>
                <w:szCs w:val="28"/>
              </w:rPr>
            </w:pPr>
          </w:p>
        </w:tc>
      </w:tr>
    </w:tbl>
    <w:p w:rsidR="005405D7" w:rsidRPr="005405D7" w:rsidRDefault="005405D7" w:rsidP="005405D7">
      <w:pPr>
        <w:autoSpaceDE w:val="0"/>
        <w:autoSpaceDN w:val="0"/>
        <w:adjustRightInd w:val="0"/>
        <w:spacing w:after="120"/>
        <w:jc w:val="center"/>
        <w:rPr>
          <w:b/>
          <w:bCs/>
          <w:spacing w:val="2"/>
          <w:sz w:val="28"/>
          <w:szCs w:val="28"/>
        </w:rPr>
      </w:pPr>
    </w:p>
    <w:tbl>
      <w:tblPr>
        <w:tblW w:w="0" w:type="auto"/>
        <w:jc w:val="center"/>
        <w:tblLayout w:type="fixed"/>
        <w:tblLook w:val="0000" w:firstRow="0" w:lastRow="0" w:firstColumn="0" w:lastColumn="0" w:noHBand="0" w:noVBand="0"/>
      </w:tblPr>
      <w:tblGrid>
        <w:gridCol w:w="4180"/>
        <w:gridCol w:w="5108"/>
      </w:tblGrid>
      <w:tr w:rsidR="005405D7" w:rsidRPr="005405D7" w:rsidTr="002A361E">
        <w:trPr>
          <w:jc w:val="center"/>
        </w:trPr>
        <w:tc>
          <w:tcPr>
            <w:tcW w:w="4180" w:type="dxa"/>
          </w:tcPr>
          <w:p w:rsidR="005405D7" w:rsidRPr="005405D7" w:rsidRDefault="005405D7" w:rsidP="002A361E">
            <w:pPr>
              <w:tabs>
                <w:tab w:val="left" w:pos="5580"/>
              </w:tabs>
              <w:spacing w:after="120"/>
              <w:rPr>
                <w:b/>
                <w:bCs/>
                <w:sz w:val="28"/>
                <w:szCs w:val="28"/>
              </w:rPr>
            </w:pPr>
            <w:r w:rsidRPr="005405D7">
              <w:rPr>
                <w:b/>
                <w:i/>
                <w:sz w:val="28"/>
                <w:szCs w:val="28"/>
              </w:rPr>
              <w:t>Nơi nhận:</w:t>
            </w:r>
            <w:r w:rsidRPr="005405D7">
              <w:rPr>
                <w:b/>
                <w:i/>
                <w:sz w:val="28"/>
                <w:szCs w:val="28"/>
              </w:rPr>
              <w:br/>
            </w:r>
            <w:r w:rsidRPr="005405D7">
              <w:rPr>
                <w:sz w:val="28"/>
                <w:szCs w:val="28"/>
              </w:rPr>
              <w:t>- BHXH tỉnh/ huyện...;</w:t>
            </w:r>
            <w:r w:rsidRPr="005405D7">
              <w:rPr>
                <w:sz w:val="28"/>
                <w:szCs w:val="28"/>
              </w:rPr>
              <w:br/>
              <w:t>- Các khoa, phòng;</w:t>
            </w:r>
            <w:r w:rsidRPr="005405D7">
              <w:rPr>
                <w:sz w:val="28"/>
                <w:szCs w:val="28"/>
              </w:rPr>
              <w:br/>
              <w:t>- Lưu: VT…………</w:t>
            </w:r>
          </w:p>
        </w:tc>
        <w:tc>
          <w:tcPr>
            <w:tcW w:w="5108" w:type="dxa"/>
          </w:tcPr>
          <w:p w:rsidR="005405D7" w:rsidRPr="005405D7" w:rsidRDefault="005405D7" w:rsidP="002A361E">
            <w:pPr>
              <w:tabs>
                <w:tab w:val="left" w:pos="5580"/>
              </w:tabs>
              <w:spacing w:after="120"/>
              <w:jc w:val="center"/>
              <w:rPr>
                <w:b/>
                <w:bCs/>
                <w:sz w:val="28"/>
                <w:szCs w:val="28"/>
              </w:rPr>
            </w:pPr>
            <w:r w:rsidRPr="005405D7">
              <w:rPr>
                <w:b/>
                <w:bCs/>
                <w:sz w:val="28"/>
                <w:szCs w:val="28"/>
              </w:rPr>
              <w:t>GIÁM ĐỐC</w:t>
            </w:r>
          </w:p>
          <w:p w:rsidR="005405D7" w:rsidRPr="005405D7" w:rsidRDefault="005405D7" w:rsidP="002A361E">
            <w:pPr>
              <w:tabs>
                <w:tab w:val="left" w:pos="5580"/>
              </w:tabs>
              <w:spacing w:after="120"/>
              <w:jc w:val="center"/>
              <w:rPr>
                <w:b/>
                <w:bCs/>
                <w:sz w:val="28"/>
                <w:szCs w:val="28"/>
              </w:rPr>
            </w:pPr>
            <w:r w:rsidRPr="005405D7">
              <w:rPr>
                <w:i/>
                <w:sz w:val="28"/>
                <w:szCs w:val="28"/>
              </w:rPr>
              <w:t>(ký tên, đóng dấu)</w:t>
            </w:r>
          </w:p>
        </w:tc>
      </w:tr>
    </w:tbl>
    <w:p w:rsidR="005405D7" w:rsidRPr="005405D7" w:rsidRDefault="005405D7" w:rsidP="005405D7">
      <w:pPr>
        <w:autoSpaceDE w:val="0"/>
        <w:autoSpaceDN w:val="0"/>
        <w:adjustRightInd w:val="0"/>
        <w:spacing w:after="120"/>
        <w:rPr>
          <w:b/>
          <w:bCs/>
          <w:spacing w:val="2"/>
          <w:sz w:val="28"/>
          <w:szCs w:val="28"/>
        </w:rPr>
      </w:pPr>
    </w:p>
    <w:p w:rsidR="005405D7" w:rsidRPr="005405D7" w:rsidRDefault="005405D7" w:rsidP="005405D7">
      <w:pPr>
        <w:autoSpaceDE w:val="0"/>
        <w:autoSpaceDN w:val="0"/>
        <w:adjustRightInd w:val="0"/>
        <w:spacing w:after="120"/>
        <w:jc w:val="center"/>
        <w:rPr>
          <w:b/>
          <w:sz w:val="28"/>
          <w:szCs w:val="28"/>
        </w:rPr>
      </w:pPr>
      <w:bookmarkStart w:id="13" w:name="loai_pl3"/>
      <w:r w:rsidRPr="005405D7">
        <w:rPr>
          <w:b/>
          <w:bCs/>
          <w:spacing w:val="2"/>
          <w:sz w:val="28"/>
          <w:szCs w:val="28"/>
        </w:rPr>
        <w:t>PHỤ LỤC SỐ 02</w:t>
      </w:r>
    </w:p>
    <w:p w:rsidR="005405D7" w:rsidRPr="005405D7" w:rsidRDefault="005405D7" w:rsidP="005405D7">
      <w:pPr>
        <w:autoSpaceDE w:val="0"/>
        <w:autoSpaceDN w:val="0"/>
        <w:adjustRightInd w:val="0"/>
        <w:spacing w:after="120"/>
        <w:jc w:val="center"/>
        <w:rPr>
          <w:sz w:val="28"/>
          <w:szCs w:val="28"/>
        </w:rPr>
      </w:pPr>
      <w:bookmarkStart w:id="14" w:name="loai_pl3_name"/>
      <w:bookmarkEnd w:id="13"/>
      <w:r w:rsidRPr="005405D7">
        <w:rPr>
          <w:iCs/>
          <w:spacing w:val="1"/>
          <w:sz w:val="28"/>
          <w:szCs w:val="28"/>
        </w:rPr>
        <w:t>MẪU ĐỀ NGHỊ SỬA ĐỔI, LOẠI BỎ THUỐC/ HOẠT CHẤT TRONG DANH MỤC THUỐC THUỘC PHẠM VI THANH TOÁN CỦA QUỸ BẢO HIỂM Y TẾ</w:t>
      </w:r>
      <w:bookmarkEnd w:id="14"/>
      <w:r w:rsidRPr="005405D7">
        <w:rPr>
          <w:iCs/>
          <w:spacing w:val="-3"/>
          <w:sz w:val="28"/>
          <w:szCs w:val="28"/>
        </w:rPr>
        <w:br/>
      </w:r>
      <w:r w:rsidRPr="005405D7">
        <w:rPr>
          <w:i/>
          <w:sz w:val="28"/>
          <w:szCs w:val="28"/>
        </w:rPr>
        <w:t>(Ban hành kèm theo Thông tư số 40/2014/TT-BYT ngày 17 tháng 11 năm 2014 của Bộ trưởng Bộ Y tế)</w:t>
      </w:r>
    </w:p>
    <w:tbl>
      <w:tblPr>
        <w:tblW w:w="0" w:type="auto"/>
        <w:jc w:val="center"/>
        <w:tblLayout w:type="fixed"/>
        <w:tblLook w:val="0000" w:firstRow="0" w:lastRow="0" w:firstColumn="0" w:lastColumn="0" w:noHBand="0" w:noVBand="0"/>
      </w:tblPr>
      <w:tblGrid>
        <w:gridCol w:w="3451"/>
        <w:gridCol w:w="6719"/>
      </w:tblGrid>
      <w:tr w:rsidR="005405D7" w:rsidRPr="005405D7" w:rsidTr="005405D7">
        <w:trPr>
          <w:jc w:val="center"/>
        </w:trPr>
        <w:tc>
          <w:tcPr>
            <w:tcW w:w="3451" w:type="dxa"/>
          </w:tcPr>
          <w:p w:rsidR="005405D7" w:rsidRPr="005405D7" w:rsidRDefault="005405D7" w:rsidP="002A361E">
            <w:pPr>
              <w:tabs>
                <w:tab w:val="left" w:pos="5580"/>
              </w:tabs>
              <w:spacing w:after="120"/>
              <w:jc w:val="center"/>
              <w:rPr>
                <w:b/>
                <w:bCs/>
                <w:sz w:val="28"/>
                <w:szCs w:val="28"/>
              </w:rPr>
            </w:pPr>
            <w:r w:rsidRPr="005405D7">
              <w:rPr>
                <w:bCs/>
                <w:sz w:val="28"/>
                <w:szCs w:val="28"/>
              </w:rPr>
              <w:t>BỘ Y TẾ/ SỞ Y TẾ</w:t>
            </w:r>
            <w:r w:rsidRPr="005405D7">
              <w:rPr>
                <w:bCs/>
                <w:sz w:val="28"/>
                <w:szCs w:val="28"/>
              </w:rPr>
              <w:br/>
            </w:r>
            <w:r w:rsidRPr="005405D7">
              <w:rPr>
                <w:b/>
                <w:bCs/>
                <w:sz w:val="28"/>
                <w:szCs w:val="28"/>
              </w:rPr>
              <w:t>TÊN CƠ SỞ KHÁM BỆNH, CHỮA BỆNH</w:t>
            </w:r>
            <w:r w:rsidRPr="005405D7">
              <w:rPr>
                <w:b/>
                <w:bCs/>
                <w:sz w:val="28"/>
                <w:szCs w:val="28"/>
              </w:rPr>
              <w:br/>
              <w:t>--------</w:t>
            </w:r>
          </w:p>
        </w:tc>
        <w:tc>
          <w:tcPr>
            <w:tcW w:w="6719" w:type="dxa"/>
          </w:tcPr>
          <w:p w:rsidR="005405D7" w:rsidRPr="005405D7" w:rsidRDefault="005405D7" w:rsidP="002A361E">
            <w:pPr>
              <w:tabs>
                <w:tab w:val="left" w:pos="5580"/>
              </w:tabs>
              <w:spacing w:after="120"/>
              <w:jc w:val="center"/>
              <w:rPr>
                <w:b/>
                <w:bCs/>
                <w:sz w:val="28"/>
                <w:szCs w:val="28"/>
              </w:rPr>
            </w:pPr>
            <w:r w:rsidRPr="005405D7">
              <w:rPr>
                <w:b/>
                <w:bCs/>
                <w:sz w:val="28"/>
                <w:szCs w:val="28"/>
              </w:rPr>
              <w:t>CỘNG HÒA XÃ HỘI CHỦ NGHĨA VIỆT NAM</w:t>
            </w:r>
            <w:bookmarkStart w:id="15" w:name="_GoBack"/>
            <w:bookmarkEnd w:id="15"/>
            <w:r w:rsidRPr="005405D7">
              <w:rPr>
                <w:b/>
                <w:bCs/>
                <w:sz w:val="28"/>
                <w:szCs w:val="28"/>
              </w:rPr>
              <w:br/>
              <w:t>Độc lập - Tự do - Hạnh phúc</w:t>
            </w:r>
            <w:r w:rsidRPr="005405D7">
              <w:rPr>
                <w:b/>
                <w:bCs/>
                <w:sz w:val="28"/>
                <w:szCs w:val="28"/>
              </w:rPr>
              <w:br/>
              <w:t>---------------</w:t>
            </w:r>
          </w:p>
        </w:tc>
      </w:tr>
      <w:tr w:rsidR="005405D7" w:rsidRPr="005405D7" w:rsidTr="005405D7">
        <w:trPr>
          <w:jc w:val="center"/>
        </w:trPr>
        <w:tc>
          <w:tcPr>
            <w:tcW w:w="3451" w:type="dxa"/>
          </w:tcPr>
          <w:p w:rsidR="005405D7" w:rsidRPr="005405D7" w:rsidRDefault="005405D7" w:rsidP="002A361E">
            <w:pPr>
              <w:tabs>
                <w:tab w:val="left" w:pos="5580"/>
              </w:tabs>
              <w:spacing w:after="120"/>
              <w:jc w:val="center"/>
              <w:rPr>
                <w:bCs/>
                <w:sz w:val="28"/>
                <w:szCs w:val="28"/>
              </w:rPr>
            </w:pPr>
            <w:r w:rsidRPr="005405D7">
              <w:rPr>
                <w:bCs/>
                <w:sz w:val="28"/>
                <w:szCs w:val="28"/>
              </w:rPr>
              <w:t>Số: …… /……</w:t>
            </w:r>
          </w:p>
        </w:tc>
        <w:tc>
          <w:tcPr>
            <w:tcW w:w="6719" w:type="dxa"/>
          </w:tcPr>
          <w:p w:rsidR="005405D7" w:rsidRPr="005405D7" w:rsidRDefault="005405D7" w:rsidP="002A361E">
            <w:pPr>
              <w:tabs>
                <w:tab w:val="left" w:pos="5580"/>
              </w:tabs>
              <w:spacing w:after="120"/>
              <w:jc w:val="right"/>
              <w:rPr>
                <w:b/>
                <w:bCs/>
                <w:sz w:val="28"/>
                <w:szCs w:val="28"/>
              </w:rPr>
            </w:pPr>
            <w:r w:rsidRPr="005405D7">
              <w:rPr>
                <w:bCs/>
                <w:i/>
                <w:sz w:val="28"/>
                <w:szCs w:val="28"/>
              </w:rPr>
              <w:t>................, ngày...........tháng...........năm...........</w:t>
            </w:r>
          </w:p>
        </w:tc>
      </w:tr>
    </w:tbl>
    <w:p w:rsidR="005405D7" w:rsidRPr="005405D7" w:rsidRDefault="005405D7" w:rsidP="005405D7">
      <w:pPr>
        <w:autoSpaceDE w:val="0"/>
        <w:autoSpaceDN w:val="0"/>
        <w:adjustRightInd w:val="0"/>
        <w:spacing w:after="120"/>
        <w:rPr>
          <w:sz w:val="28"/>
          <w:szCs w:val="28"/>
        </w:rPr>
      </w:pPr>
    </w:p>
    <w:p w:rsidR="005405D7" w:rsidRPr="005405D7" w:rsidRDefault="005405D7" w:rsidP="005405D7">
      <w:pPr>
        <w:tabs>
          <w:tab w:val="left" w:pos="0"/>
        </w:tabs>
        <w:autoSpaceDE w:val="0"/>
        <w:autoSpaceDN w:val="0"/>
        <w:adjustRightInd w:val="0"/>
        <w:spacing w:after="120"/>
        <w:jc w:val="center"/>
        <w:rPr>
          <w:b/>
          <w:bCs/>
          <w:spacing w:val="1"/>
          <w:sz w:val="28"/>
          <w:szCs w:val="28"/>
        </w:rPr>
      </w:pPr>
      <w:r w:rsidRPr="005405D7">
        <w:rPr>
          <w:b/>
          <w:bCs/>
          <w:sz w:val="28"/>
          <w:szCs w:val="28"/>
        </w:rPr>
        <w:t>THUỐC ĐỀ</w:t>
      </w:r>
      <w:r w:rsidRPr="005405D7">
        <w:rPr>
          <w:b/>
          <w:bCs/>
          <w:spacing w:val="-21"/>
          <w:sz w:val="28"/>
          <w:szCs w:val="28"/>
        </w:rPr>
        <w:t xml:space="preserve"> </w:t>
      </w:r>
      <w:r w:rsidRPr="005405D7">
        <w:rPr>
          <w:b/>
          <w:bCs/>
          <w:sz w:val="28"/>
          <w:szCs w:val="28"/>
        </w:rPr>
        <w:t>N</w:t>
      </w:r>
      <w:r w:rsidRPr="005405D7">
        <w:rPr>
          <w:b/>
          <w:bCs/>
          <w:spacing w:val="-1"/>
          <w:sz w:val="28"/>
          <w:szCs w:val="28"/>
        </w:rPr>
        <w:t>GH</w:t>
      </w:r>
      <w:r w:rsidRPr="005405D7">
        <w:rPr>
          <w:b/>
          <w:bCs/>
          <w:sz w:val="28"/>
          <w:szCs w:val="28"/>
        </w:rPr>
        <w:t>Ị</w:t>
      </w:r>
      <w:r w:rsidRPr="005405D7">
        <w:rPr>
          <w:b/>
          <w:bCs/>
          <w:spacing w:val="3"/>
          <w:sz w:val="28"/>
          <w:szCs w:val="28"/>
        </w:rPr>
        <w:t xml:space="preserve"> SỬA ĐỔI, BỔ SUNG/ LOẠI </w:t>
      </w:r>
      <w:r w:rsidRPr="005405D7">
        <w:rPr>
          <w:b/>
          <w:bCs/>
          <w:spacing w:val="1"/>
          <w:sz w:val="28"/>
          <w:szCs w:val="28"/>
        </w:rPr>
        <w:t>BỎ</w:t>
      </w:r>
    </w:p>
    <w:p w:rsidR="005405D7" w:rsidRPr="005405D7" w:rsidRDefault="005405D7" w:rsidP="005405D7">
      <w:pPr>
        <w:tabs>
          <w:tab w:val="left" w:pos="0"/>
        </w:tabs>
        <w:autoSpaceDE w:val="0"/>
        <w:autoSpaceDN w:val="0"/>
        <w:adjustRightInd w:val="0"/>
        <w:spacing w:after="120"/>
        <w:jc w:val="center"/>
        <w:rPr>
          <w:b/>
          <w:bCs/>
          <w:sz w:val="28"/>
          <w:szCs w:val="28"/>
        </w:rPr>
      </w:pPr>
      <w:r w:rsidRPr="005405D7">
        <w:rPr>
          <w:b/>
          <w:bCs/>
          <w:spacing w:val="1"/>
          <w:sz w:val="28"/>
          <w:szCs w:val="28"/>
        </w:rPr>
        <w:t>Thuốc, hoạt chất trong danh mục thuốc thuộc phạm vi thanh toán của quỹ bảo hiểm y tế</w:t>
      </w:r>
    </w:p>
    <w:p w:rsidR="005405D7" w:rsidRPr="005405D7" w:rsidRDefault="005405D7" w:rsidP="005405D7">
      <w:pPr>
        <w:tabs>
          <w:tab w:val="left" w:pos="5580"/>
        </w:tabs>
        <w:spacing w:after="120"/>
        <w:jc w:val="center"/>
        <w:rPr>
          <w:bCs/>
          <w:sz w:val="28"/>
          <w:szCs w:val="28"/>
        </w:rPr>
      </w:pPr>
      <w:r w:rsidRPr="005405D7">
        <w:rPr>
          <w:bCs/>
          <w:sz w:val="28"/>
          <w:szCs w:val="28"/>
        </w:rPr>
        <w:t>Kính gửi: ………………………………………………………………………………</w:t>
      </w:r>
    </w:p>
    <w:tbl>
      <w:tblPr>
        <w:tblW w:w="0" w:type="auto"/>
        <w:jc w:val="center"/>
        <w:tblLayout w:type="fixed"/>
        <w:tblLook w:val="0000" w:firstRow="0" w:lastRow="0" w:firstColumn="0" w:lastColumn="0" w:noHBand="0" w:noVBand="0"/>
      </w:tblPr>
      <w:tblGrid>
        <w:gridCol w:w="701"/>
        <w:gridCol w:w="2147"/>
        <w:gridCol w:w="1495"/>
        <w:gridCol w:w="1650"/>
        <w:gridCol w:w="2620"/>
        <w:gridCol w:w="4393"/>
      </w:tblGrid>
      <w:tr w:rsidR="005405D7" w:rsidRPr="005405D7" w:rsidTr="002A361E">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STT</w:t>
            </w:r>
          </w:p>
        </w:tc>
        <w:tc>
          <w:tcPr>
            <w:tcW w:w="2147"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Tên thuốc/ hoạt chất</w:t>
            </w:r>
          </w:p>
        </w:tc>
        <w:tc>
          <w:tcPr>
            <w:tcW w:w="1495"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Số thứ tự/ mã số trong danh mục thuốc</w:t>
            </w:r>
          </w:p>
        </w:tc>
        <w:tc>
          <w:tcPr>
            <w:tcW w:w="1650"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Đường dùng, dạng dùng</w:t>
            </w:r>
          </w:p>
        </w:tc>
        <w:tc>
          <w:tcPr>
            <w:tcW w:w="2620"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Nội dung đề nghị sửa đổi hay loại bỏ</w:t>
            </w:r>
          </w:p>
        </w:tc>
        <w:tc>
          <w:tcPr>
            <w:tcW w:w="4393"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Thuyết minh lý do/ căn cứ để đề nghị sửa đổi hay loại bỏ</w:t>
            </w:r>
          </w:p>
        </w:tc>
      </w:tr>
      <w:tr w:rsidR="005405D7" w:rsidRPr="005405D7" w:rsidTr="002A361E">
        <w:trPr>
          <w:jc w:val="center"/>
        </w:trPr>
        <w:tc>
          <w:tcPr>
            <w:tcW w:w="701" w:type="dxa"/>
            <w:tcBorders>
              <w:top w:val="nil"/>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(1)</w:t>
            </w:r>
          </w:p>
        </w:tc>
        <w:tc>
          <w:tcPr>
            <w:tcW w:w="2147" w:type="dxa"/>
            <w:tcBorders>
              <w:top w:val="nil"/>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(2)</w:t>
            </w:r>
          </w:p>
        </w:tc>
        <w:tc>
          <w:tcPr>
            <w:tcW w:w="1495"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(3)</w:t>
            </w:r>
          </w:p>
        </w:tc>
        <w:tc>
          <w:tcPr>
            <w:tcW w:w="1650" w:type="dxa"/>
            <w:tcBorders>
              <w:top w:val="nil"/>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(4)</w:t>
            </w:r>
          </w:p>
        </w:tc>
        <w:tc>
          <w:tcPr>
            <w:tcW w:w="2620" w:type="dxa"/>
            <w:tcBorders>
              <w:top w:val="nil"/>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(5)</w:t>
            </w:r>
          </w:p>
        </w:tc>
        <w:tc>
          <w:tcPr>
            <w:tcW w:w="4393" w:type="dxa"/>
            <w:tcBorders>
              <w:top w:val="nil"/>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r w:rsidRPr="005405D7">
              <w:rPr>
                <w:sz w:val="28"/>
                <w:szCs w:val="28"/>
              </w:rPr>
              <w:t>(6)</w:t>
            </w:r>
          </w:p>
        </w:tc>
      </w:tr>
      <w:tr w:rsidR="005405D7" w:rsidRPr="005405D7" w:rsidTr="002A361E">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2147"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1495"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2620"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4393"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r>
      <w:tr w:rsidR="005405D7" w:rsidRPr="005405D7" w:rsidTr="002A361E">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rPr>
                <w:sz w:val="28"/>
                <w:szCs w:val="28"/>
              </w:rPr>
            </w:pPr>
          </w:p>
        </w:tc>
        <w:tc>
          <w:tcPr>
            <w:tcW w:w="2147"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1495"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2620"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4393"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r>
      <w:tr w:rsidR="005405D7" w:rsidRPr="005405D7" w:rsidTr="002A361E">
        <w:trPr>
          <w:jc w:val="center"/>
        </w:trPr>
        <w:tc>
          <w:tcPr>
            <w:tcW w:w="701"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rPr>
                <w:sz w:val="28"/>
                <w:szCs w:val="28"/>
              </w:rPr>
            </w:pPr>
          </w:p>
        </w:tc>
        <w:tc>
          <w:tcPr>
            <w:tcW w:w="2147"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1495"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1650"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2620" w:type="dxa"/>
            <w:tcBorders>
              <w:top w:val="single" w:sz="4" w:space="0" w:color="auto"/>
              <w:left w:val="nil"/>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c>
          <w:tcPr>
            <w:tcW w:w="4393" w:type="dxa"/>
            <w:tcBorders>
              <w:top w:val="single" w:sz="4" w:space="0" w:color="auto"/>
              <w:left w:val="single" w:sz="4" w:space="0" w:color="auto"/>
              <w:bottom w:val="single" w:sz="4" w:space="0" w:color="auto"/>
              <w:right w:val="single" w:sz="4" w:space="0" w:color="auto"/>
            </w:tcBorders>
            <w:vAlign w:val="center"/>
          </w:tcPr>
          <w:p w:rsidR="005405D7" w:rsidRPr="005405D7" w:rsidRDefault="005405D7" w:rsidP="002A361E">
            <w:pPr>
              <w:spacing w:after="120"/>
              <w:jc w:val="center"/>
              <w:rPr>
                <w:sz w:val="28"/>
                <w:szCs w:val="28"/>
              </w:rPr>
            </w:pPr>
          </w:p>
        </w:tc>
      </w:tr>
    </w:tbl>
    <w:p w:rsidR="005405D7" w:rsidRPr="005405D7" w:rsidRDefault="005405D7" w:rsidP="005405D7">
      <w:pPr>
        <w:autoSpaceDE w:val="0"/>
        <w:autoSpaceDN w:val="0"/>
        <w:adjustRightInd w:val="0"/>
        <w:spacing w:after="120"/>
        <w:rPr>
          <w:sz w:val="28"/>
          <w:szCs w:val="28"/>
        </w:rPr>
      </w:pPr>
    </w:p>
    <w:tbl>
      <w:tblPr>
        <w:tblW w:w="0" w:type="auto"/>
        <w:jc w:val="center"/>
        <w:tblLayout w:type="fixed"/>
        <w:tblLook w:val="0000" w:firstRow="0" w:lastRow="0" w:firstColumn="0" w:lastColumn="0" w:noHBand="0" w:noVBand="0"/>
      </w:tblPr>
      <w:tblGrid>
        <w:gridCol w:w="4109"/>
        <w:gridCol w:w="5179"/>
      </w:tblGrid>
      <w:tr w:rsidR="005405D7" w:rsidRPr="005405D7" w:rsidTr="002A361E">
        <w:trPr>
          <w:jc w:val="center"/>
        </w:trPr>
        <w:tc>
          <w:tcPr>
            <w:tcW w:w="4109" w:type="dxa"/>
          </w:tcPr>
          <w:p w:rsidR="005405D7" w:rsidRPr="005405D7" w:rsidRDefault="005405D7" w:rsidP="002A361E">
            <w:pPr>
              <w:tabs>
                <w:tab w:val="left" w:pos="5580"/>
              </w:tabs>
              <w:spacing w:after="120"/>
              <w:rPr>
                <w:b/>
                <w:bCs/>
                <w:sz w:val="28"/>
                <w:szCs w:val="28"/>
              </w:rPr>
            </w:pPr>
            <w:r w:rsidRPr="005405D7">
              <w:rPr>
                <w:b/>
                <w:i/>
                <w:sz w:val="28"/>
                <w:szCs w:val="28"/>
              </w:rPr>
              <w:t>Nơi nhận:</w:t>
            </w:r>
            <w:r w:rsidRPr="005405D7">
              <w:rPr>
                <w:b/>
                <w:i/>
                <w:sz w:val="28"/>
                <w:szCs w:val="28"/>
              </w:rPr>
              <w:br/>
            </w:r>
            <w:r w:rsidRPr="005405D7">
              <w:rPr>
                <w:sz w:val="28"/>
                <w:szCs w:val="28"/>
              </w:rPr>
              <w:t>- Như trên;</w:t>
            </w:r>
            <w:r w:rsidRPr="005405D7">
              <w:rPr>
                <w:sz w:val="28"/>
                <w:szCs w:val="28"/>
              </w:rPr>
              <w:br/>
              <w:t>- …………</w:t>
            </w:r>
            <w:r w:rsidRPr="005405D7">
              <w:rPr>
                <w:sz w:val="28"/>
                <w:szCs w:val="28"/>
              </w:rPr>
              <w:br/>
              <w:t>- Lưu: ........</w:t>
            </w:r>
          </w:p>
        </w:tc>
        <w:tc>
          <w:tcPr>
            <w:tcW w:w="5179" w:type="dxa"/>
          </w:tcPr>
          <w:p w:rsidR="005405D7" w:rsidRPr="005405D7" w:rsidRDefault="005405D7" w:rsidP="002A361E">
            <w:pPr>
              <w:autoSpaceDE w:val="0"/>
              <w:autoSpaceDN w:val="0"/>
              <w:adjustRightInd w:val="0"/>
              <w:spacing w:after="120"/>
              <w:jc w:val="center"/>
              <w:rPr>
                <w:b/>
                <w:sz w:val="28"/>
                <w:szCs w:val="28"/>
              </w:rPr>
            </w:pPr>
            <w:r w:rsidRPr="005405D7">
              <w:rPr>
                <w:b/>
                <w:bCs/>
                <w:spacing w:val="-1"/>
                <w:sz w:val="28"/>
                <w:szCs w:val="28"/>
              </w:rPr>
              <w:t>G</w:t>
            </w:r>
            <w:r w:rsidRPr="005405D7">
              <w:rPr>
                <w:b/>
                <w:bCs/>
                <w:spacing w:val="2"/>
                <w:sz w:val="28"/>
                <w:szCs w:val="28"/>
              </w:rPr>
              <w:t>I</w:t>
            </w:r>
            <w:r w:rsidRPr="005405D7">
              <w:rPr>
                <w:b/>
                <w:bCs/>
                <w:sz w:val="28"/>
                <w:szCs w:val="28"/>
              </w:rPr>
              <w:t>ÁM ĐỐC</w:t>
            </w:r>
          </w:p>
          <w:p w:rsidR="005405D7" w:rsidRPr="005405D7" w:rsidRDefault="005405D7" w:rsidP="002A361E">
            <w:pPr>
              <w:tabs>
                <w:tab w:val="left" w:pos="5580"/>
              </w:tabs>
              <w:spacing w:after="120"/>
              <w:jc w:val="center"/>
              <w:rPr>
                <w:b/>
                <w:bCs/>
                <w:sz w:val="28"/>
                <w:szCs w:val="28"/>
              </w:rPr>
            </w:pPr>
            <w:r w:rsidRPr="005405D7">
              <w:rPr>
                <w:i/>
                <w:iCs/>
                <w:spacing w:val="-3"/>
                <w:sz w:val="28"/>
                <w:szCs w:val="28"/>
              </w:rPr>
              <w:t>(</w:t>
            </w:r>
            <w:r w:rsidRPr="005405D7">
              <w:rPr>
                <w:i/>
                <w:iCs/>
                <w:spacing w:val="-1"/>
                <w:sz w:val="28"/>
                <w:szCs w:val="28"/>
              </w:rPr>
              <w:t>k</w:t>
            </w:r>
            <w:r w:rsidRPr="005405D7">
              <w:rPr>
                <w:i/>
                <w:iCs/>
                <w:sz w:val="28"/>
                <w:szCs w:val="28"/>
              </w:rPr>
              <w:t>ý</w:t>
            </w:r>
            <w:r w:rsidRPr="005405D7">
              <w:rPr>
                <w:i/>
                <w:iCs/>
                <w:spacing w:val="1"/>
                <w:sz w:val="28"/>
                <w:szCs w:val="28"/>
              </w:rPr>
              <w:t xml:space="preserve"> </w:t>
            </w:r>
            <w:r w:rsidRPr="005405D7">
              <w:rPr>
                <w:i/>
                <w:iCs/>
                <w:sz w:val="28"/>
                <w:szCs w:val="28"/>
              </w:rPr>
              <w:t>t</w:t>
            </w:r>
            <w:r w:rsidRPr="005405D7">
              <w:rPr>
                <w:i/>
                <w:iCs/>
                <w:spacing w:val="-1"/>
                <w:sz w:val="28"/>
                <w:szCs w:val="28"/>
              </w:rPr>
              <w:t>ê</w:t>
            </w:r>
            <w:r w:rsidRPr="005405D7">
              <w:rPr>
                <w:i/>
                <w:iCs/>
                <w:sz w:val="28"/>
                <w:szCs w:val="28"/>
              </w:rPr>
              <w:t>n</w:t>
            </w:r>
            <w:r w:rsidRPr="005405D7">
              <w:rPr>
                <w:i/>
                <w:iCs/>
                <w:spacing w:val="2"/>
                <w:sz w:val="28"/>
                <w:szCs w:val="28"/>
              </w:rPr>
              <w:t xml:space="preserve"> </w:t>
            </w:r>
            <w:r w:rsidRPr="005405D7">
              <w:rPr>
                <w:i/>
                <w:iCs/>
                <w:spacing w:val="-1"/>
                <w:sz w:val="28"/>
                <w:szCs w:val="28"/>
              </w:rPr>
              <w:t>v</w:t>
            </w:r>
            <w:r w:rsidRPr="005405D7">
              <w:rPr>
                <w:i/>
                <w:iCs/>
                <w:sz w:val="28"/>
                <w:szCs w:val="28"/>
              </w:rPr>
              <w:t>à</w:t>
            </w:r>
            <w:r w:rsidRPr="005405D7">
              <w:rPr>
                <w:i/>
                <w:iCs/>
                <w:spacing w:val="1"/>
                <w:sz w:val="28"/>
                <w:szCs w:val="28"/>
              </w:rPr>
              <w:t xml:space="preserve"> </w:t>
            </w:r>
            <w:r w:rsidRPr="005405D7">
              <w:rPr>
                <w:i/>
                <w:iCs/>
                <w:sz w:val="28"/>
                <w:szCs w:val="28"/>
              </w:rPr>
              <w:t>đóng</w:t>
            </w:r>
            <w:r w:rsidRPr="005405D7">
              <w:rPr>
                <w:i/>
                <w:iCs/>
                <w:spacing w:val="2"/>
                <w:sz w:val="28"/>
                <w:szCs w:val="28"/>
              </w:rPr>
              <w:t xml:space="preserve"> </w:t>
            </w:r>
            <w:r w:rsidRPr="005405D7">
              <w:rPr>
                <w:i/>
                <w:iCs/>
                <w:spacing w:val="-1"/>
                <w:sz w:val="28"/>
                <w:szCs w:val="28"/>
              </w:rPr>
              <w:t>d</w:t>
            </w:r>
            <w:r w:rsidRPr="005405D7">
              <w:rPr>
                <w:i/>
                <w:iCs/>
                <w:sz w:val="28"/>
                <w:szCs w:val="28"/>
              </w:rPr>
              <w:t>ấ</w:t>
            </w:r>
            <w:r w:rsidRPr="005405D7">
              <w:rPr>
                <w:i/>
                <w:iCs/>
                <w:spacing w:val="-5"/>
                <w:sz w:val="28"/>
                <w:szCs w:val="28"/>
              </w:rPr>
              <w:t>u</w:t>
            </w:r>
            <w:r w:rsidRPr="005405D7">
              <w:rPr>
                <w:i/>
                <w:iCs/>
                <w:sz w:val="28"/>
                <w:szCs w:val="28"/>
              </w:rPr>
              <w:t>)</w:t>
            </w:r>
          </w:p>
        </w:tc>
      </w:tr>
    </w:tbl>
    <w:p w:rsidR="005405D7" w:rsidRPr="005405D7" w:rsidRDefault="005405D7" w:rsidP="005405D7">
      <w:pPr>
        <w:autoSpaceDE w:val="0"/>
        <w:autoSpaceDN w:val="0"/>
        <w:adjustRightInd w:val="0"/>
        <w:spacing w:after="120"/>
        <w:rPr>
          <w:sz w:val="28"/>
          <w:szCs w:val="28"/>
        </w:rPr>
      </w:pPr>
    </w:p>
    <w:p w:rsidR="005405D7" w:rsidRPr="005405D7" w:rsidRDefault="005405D7" w:rsidP="005405D7">
      <w:pPr>
        <w:rPr>
          <w:sz w:val="28"/>
          <w:szCs w:val="28"/>
        </w:rPr>
      </w:pPr>
    </w:p>
    <w:p w:rsidR="00D62FEC" w:rsidRPr="005405D7" w:rsidRDefault="00D62FEC">
      <w:pPr>
        <w:rPr>
          <w:sz w:val="28"/>
          <w:szCs w:val="28"/>
        </w:rPr>
      </w:pPr>
    </w:p>
    <w:sectPr w:rsidR="00D62FEC" w:rsidRPr="005405D7">
      <w:footerReference w:type="even" r:id="rId13"/>
      <w:footerReference w:type="default" r:id="rId14"/>
      <w:pgSz w:w="16840" w:h="11907" w:orient="landscape"/>
      <w:pgMar w:top="981" w:right="567" w:bottom="606"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BA" w:rsidRDefault="007927BA" w:rsidP="005405D7">
      <w:r>
        <w:separator/>
      </w:r>
    </w:p>
  </w:endnote>
  <w:endnote w:type="continuationSeparator" w:id="0">
    <w:p w:rsidR="007927BA" w:rsidRDefault="007927BA" w:rsidP="0054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H">
    <w:altName w:val="Courier New"/>
    <w:charset w:val="00"/>
    <w:family w:val="swiss"/>
    <w:pitch w:val="default"/>
  </w:font>
  <w:font w:name=".VnTime">
    <w:altName w:val="Courier New"/>
    <w:charset w:val="00"/>
    <w:family w:val="swiss"/>
    <w:pitch w:val="default"/>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7BA">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rsidR="00000000" w:rsidRDefault="007927B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7BA">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7BA">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rsidR="00000000" w:rsidRDefault="007927BA">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927BA">
    <w:pPr>
      <w:pStyle w:val="Footer"/>
      <w:framePr w:h="0" w:wrap="around" w:vAnchor="text" w:hAnchor="page" w:x="15936" w:y="-189"/>
      <w:rPr>
        <w:rStyle w:val="PageNumber"/>
      </w:rPr>
    </w:pPr>
    <w:r>
      <w:fldChar w:fldCharType="begin"/>
    </w:r>
    <w:r>
      <w:rPr>
        <w:rStyle w:val="PageNumber"/>
      </w:rPr>
      <w:instrText xml:space="preserve">PAGE  </w:instrText>
    </w:r>
    <w:r>
      <w:fldChar w:fldCharType="separate"/>
    </w:r>
    <w:r w:rsidR="005405D7">
      <w:rPr>
        <w:rStyle w:val="PageNumber"/>
        <w:noProof/>
      </w:rPr>
      <w:t>10</w:t>
    </w:r>
    <w:r>
      <w:fldChar w:fldCharType="end"/>
    </w:r>
  </w:p>
  <w:p w:rsidR="00000000" w:rsidRDefault="007927B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BA" w:rsidRDefault="007927BA" w:rsidP="005405D7">
      <w:r>
        <w:separator/>
      </w:r>
    </w:p>
  </w:footnote>
  <w:footnote w:type="continuationSeparator" w:id="0">
    <w:p w:rsidR="007927BA" w:rsidRDefault="007927BA" w:rsidP="005405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C682E"/>
    <w:multiLevelType w:val="multilevel"/>
    <w:tmpl w:val="586C68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CB30EC"/>
    <w:multiLevelType w:val="multilevel"/>
    <w:tmpl w:val="7DCB30E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D7"/>
    <w:rsid w:val="005405D7"/>
    <w:rsid w:val="007927BA"/>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A1EA4-7D8D-456C-82B6-C40E88B5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5D7"/>
    <w:pPr>
      <w:spacing w:after="0" w:line="240" w:lineRule="auto"/>
    </w:pPr>
    <w:rPr>
      <w:rFonts w:eastAsia="Malgun Gothic" w:cs="Times New Roman"/>
      <w:sz w:val="24"/>
      <w:szCs w:val="24"/>
    </w:rPr>
  </w:style>
  <w:style w:type="paragraph" w:styleId="Heading1">
    <w:name w:val="heading 1"/>
    <w:basedOn w:val="Normal"/>
    <w:next w:val="Normal"/>
    <w:link w:val="Heading1Char"/>
    <w:qFormat/>
    <w:rsid w:val="005405D7"/>
    <w:pPr>
      <w:keepNext/>
      <w:jc w:val="center"/>
      <w:outlineLvl w:val="0"/>
    </w:pPr>
    <w:rPr>
      <w:rFonts w:ascii=".VnTimeH" w:hAnsi=".VnTimeH"/>
      <w:b/>
      <w:sz w:val="22"/>
      <w:szCs w:val="20"/>
    </w:rPr>
  </w:style>
  <w:style w:type="paragraph" w:styleId="Heading5">
    <w:name w:val="heading 5"/>
    <w:basedOn w:val="Normal"/>
    <w:next w:val="Normal"/>
    <w:link w:val="Heading5Char"/>
    <w:qFormat/>
    <w:rsid w:val="005405D7"/>
    <w:pPr>
      <w:keepNext/>
      <w:jc w:val="center"/>
      <w:outlineLvl w:val="4"/>
    </w:pPr>
    <w:rPr>
      <w:rFonts w:ascii=".VnTimeH" w:hAnsi=".VnTimeH"/>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05D7"/>
    <w:rPr>
      <w:rFonts w:ascii=".VnTimeH" w:eastAsia="Malgun Gothic" w:hAnsi=".VnTimeH" w:cs="Times New Roman"/>
      <w:b/>
      <w:sz w:val="22"/>
      <w:szCs w:val="20"/>
    </w:rPr>
  </w:style>
  <w:style w:type="character" w:customStyle="1" w:styleId="Heading5Char">
    <w:name w:val="Heading 5 Char"/>
    <w:basedOn w:val="DefaultParagraphFont"/>
    <w:link w:val="Heading5"/>
    <w:rsid w:val="005405D7"/>
    <w:rPr>
      <w:rFonts w:ascii=".VnTimeH" w:eastAsia="Malgun Gothic" w:hAnsi=".VnTimeH" w:cs="Times New Roman"/>
      <w:b/>
      <w:bCs/>
      <w:sz w:val="26"/>
      <w:szCs w:val="20"/>
    </w:rPr>
  </w:style>
  <w:style w:type="character" w:styleId="PageNumber">
    <w:name w:val="page number"/>
    <w:basedOn w:val="DefaultParagraphFont"/>
    <w:rsid w:val="005405D7"/>
  </w:style>
  <w:style w:type="character" w:customStyle="1" w:styleId="FooterChar">
    <w:name w:val="Footer Char"/>
    <w:link w:val="Footer"/>
    <w:rsid w:val="005405D7"/>
    <w:rPr>
      <w:rFonts w:ascii=".VnTime" w:hAnsi=".VnTime"/>
      <w:sz w:val="24"/>
      <w:szCs w:val="24"/>
    </w:rPr>
  </w:style>
  <w:style w:type="character" w:customStyle="1" w:styleId="st1">
    <w:name w:val="st1"/>
    <w:basedOn w:val="DefaultParagraphFont"/>
    <w:rsid w:val="005405D7"/>
  </w:style>
  <w:style w:type="paragraph" w:styleId="Footer">
    <w:name w:val="footer"/>
    <w:basedOn w:val="Normal"/>
    <w:link w:val="FooterChar"/>
    <w:rsid w:val="005405D7"/>
    <w:pPr>
      <w:tabs>
        <w:tab w:val="center" w:pos="4320"/>
        <w:tab w:val="right" w:pos="8640"/>
      </w:tabs>
    </w:pPr>
    <w:rPr>
      <w:rFonts w:ascii=".VnTime" w:eastAsiaTheme="minorHAnsi" w:hAnsi=".VnTime" w:cstheme="minorBidi"/>
    </w:rPr>
  </w:style>
  <w:style w:type="character" w:customStyle="1" w:styleId="FooterChar1">
    <w:name w:val="Footer Char1"/>
    <w:basedOn w:val="DefaultParagraphFont"/>
    <w:uiPriority w:val="99"/>
    <w:semiHidden/>
    <w:rsid w:val="005405D7"/>
    <w:rPr>
      <w:rFonts w:eastAsia="Malgun Gothic" w:cs="Times New Roman"/>
      <w:sz w:val="24"/>
      <w:szCs w:val="24"/>
    </w:rPr>
  </w:style>
  <w:style w:type="paragraph" w:styleId="Header">
    <w:name w:val="header"/>
    <w:basedOn w:val="Normal"/>
    <w:link w:val="HeaderChar"/>
    <w:uiPriority w:val="99"/>
    <w:unhideWhenUsed/>
    <w:rsid w:val="005405D7"/>
    <w:pPr>
      <w:tabs>
        <w:tab w:val="center" w:pos="4680"/>
        <w:tab w:val="right" w:pos="9360"/>
      </w:tabs>
    </w:pPr>
  </w:style>
  <w:style w:type="character" w:customStyle="1" w:styleId="HeaderChar">
    <w:name w:val="Header Char"/>
    <w:basedOn w:val="DefaultParagraphFont"/>
    <w:link w:val="Header"/>
    <w:uiPriority w:val="99"/>
    <w:rsid w:val="005405D7"/>
    <w:rPr>
      <w:rFonts w:eastAsia="Malgun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2652</Words>
  <Characters>15123</Characters>
  <Application>Microsoft Office Word</Application>
  <DocSecurity>0</DocSecurity>
  <Lines>126</Lines>
  <Paragraphs>35</Paragraphs>
  <ScaleCrop>false</ScaleCrop>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2020-05-10T15:48:00Z</dcterms:created>
  <dcterms:modified xsi:type="dcterms:W3CDTF">2020-05-10T15:51:00Z</dcterms:modified>
</cp:coreProperties>
</file>