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0C875" w14:textId="77777777" w:rsidR="00FF23EA" w:rsidRPr="001A552C" w:rsidRDefault="00FF23EA">
      <w:pPr>
        <w:pStyle w:val="Heading3"/>
        <w:spacing w:beforeLines="50" w:before="120" w:beforeAutospacing="0" w:afterLines="50" w:after="120" w:afterAutospacing="0" w:line="360" w:lineRule="auto"/>
        <w:jc w:val="center"/>
        <w:rPr>
          <w:rStyle w:val="Strong"/>
          <w:rFonts w:ascii="Times New Roman" w:hAnsi="Times New Roman" w:hint="default"/>
          <w:sz w:val="28"/>
          <w:szCs w:val="28"/>
        </w:rPr>
      </w:pPr>
      <w:r w:rsidRPr="001A552C">
        <w:rPr>
          <w:rStyle w:val="Strong"/>
          <w:rFonts w:ascii="Times New Roman" w:hAnsi="Times New Roman" w:hint="default"/>
          <w:sz w:val="28"/>
          <w:szCs w:val="28"/>
        </w:rPr>
        <w:t>Tỷ lệ trích các khoản theo lương năm 2018 mới nhất</w:t>
      </w:r>
    </w:p>
    <w:p w14:paraId="5526F8F5" w14:textId="77777777" w:rsidR="00FF23EA" w:rsidRPr="001A552C" w:rsidRDefault="00FF23EA">
      <w:pPr>
        <w:pStyle w:val="Heading3"/>
        <w:spacing w:beforeLines="50" w:before="120" w:beforeAutospacing="0" w:afterLines="50" w:after="120" w:afterAutospacing="0" w:line="360" w:lineRule="auto"/>
        <w:rPr>
          <w:rFonts w:ascii="Times New Roman" w:hAnsi="Times New Roman" w:hint="default"/>
          <w:sz w:val="28"/>
          <w:szCs w:val="28"/>
        </w:rPr>
      </w:pPr>
      <w:r w:rsidRPr="001A552C">
        <w:rPr>
          <w:rStyle w:val="Strong"/>
          <w:rFonts w:ascii="Times New Roman" w:hAnsi="Times New Roman" w:hint="default"/>
          <w:sz w:val="28"/>
          <w:szCs w:val="28"/>
        </w:rPr>
        <w:t>1. Đối tượng bắt buộc tham gia BHYT, BHXH, BHTN</w:t>
      </w:r>
    </w:p>
    <w:p w14:paraId="5329C1A5" w14:textId="77777777" w:rsidR="00FF23EA" w:rsidRPr="001A552C" w:rsidRDefault="00FF23EA">
      <w:pPr>
        <w:pStyle w:val="NormalWeb"/>
        <w:spacing w:beforeLines="50" w:before="120" w:beforeAutospacing="0" w:afterLines="50" w:after="120" w:afterAutospacing="0" w:line="360" w:lineRule="auto"/>
        <w:jc w:val="both"/>
        <w:rPr>
          <w:sz w:val="28"/>
          <w:szCs w:val="28"/>
        </w:rPr>
      </w:pPr>
      <w:r w:rsidRPr="001A552C">
        <w:rPr>
          <w:sz w:val="28"/>
          <w:szCs w:val="28"/>
        </w:rPr>
        <w:t xml:space="preserve">Theo </w:t>
      </w:r>
      <w:hyperlink r:id="rId5" w:tgtFrame="_blank" w:history="1">
        <w:r w:rsidRPr="001A552C">
          <w:rPr>
            <w:rStyle w:val="Hyperlink"/>
            <w:color w:val="auto"/>
            <w:sz w:val="28"/>
            <w:szCs w:val="28"/>
            <w:u w:val="none"/>
          </w:rPr>
          <w:t xml:space="preserve">Quyết định số 595/2017/QĐ-BHXH </w:t>
        </w:r>
      </w:hyperlink>
      <w:r w:rsidRPr="001A552C">
        <w:rPr>
          <w:sz w:val="28"/>
          <w:szCs w:val="28"/>
        </w:rPr>
        <w:t>quy định các đối tượng sau đây phải tham gia BHYT, BHXH bắt buộc, BHTN:</w:t>
      </w:r>
    </w:p>
    <w:p w14:paraId="03F6AD56" w14:textId="77777777" w:rsidR="00FF23EA" w:rsidRPr="001A552C" w:rsidRDefault="00FF23EA">
      <w:pPr>
        <w:pStyle w:val="NormalWeb"/>
        <w:spacing w:beforeLines="50" w:before="120" w:beforeAutospacing="0" w:afterLines="50" w:after="120" w:afterAutospacing="0" w:line="360" w:lineRule="auto"/>
        <w:jc w:val="both"/>
        <w:rPr>
          <w:sz w:val="28"/>
          <w:szCs w:val="28"/>
        </w:rPr>
      </w:pPr>
      <w:r w:rsidRPr="001A552C">
        <w:rPr>
          <w:sz w:val="28"/>
          <w:szCs w:val="28"/>
        </w:rPr>
        <w:t>+ Người làm việc theo hợp đồng lao động có xác định thời hạn, hợp đồng lao động không xác định thời hạn, hợp đồng lao động theo mùa vụ hoặc làm việc theo tính chất công việc nhất định có thời gian đủ 3 tháng đến dưới 12 tháng (kể cả hợp đồng lao động được ký kết giữa đơn vị với người đại diện theo pháp luật của các đối tượng lao động dưới 15 tuổi theo quy định của pháp luật).</w:t>
      </w:r>
    </w:p>
    <w:p w14:paraId="29648047" w14:textId="77777777" w:rsidR="00FF23EA" w:rsidRPr="001A552C" w:rsidRDefault="00FF23EA">
      <w:pPr>
        <w:pStyle w:val="NormalWeb"/>
        <w:spacing w:beforeLines="50" w:before="120" w:beforeAutospacing="0" w:afterLines="50" w:after="120" w:afterAutospacing="0" w:line="360" w:lineRule="auto"/>
        <w:jc w:val="both"/>
        <w:rPr>
          <w:sz w:val="28"/>
          <w:szCs w:val="28"/>
        </w:rPr>
      </w:pPr>
      <w:r w:rsidRPr="001A552C">
        <w:rPr>
          <w:sz w:val="28"/>
          <w:szCs w:val="28"/>
        </w:rPr>
        <w:t>+ Người làm việc theo hợp đồng lao động có thời hạn đủ 1 đến dưới 3 tháng (bắt đầu có hiệu lực thi hành vào ngày 1/1/2018).</w:t>
      </w:r>
    </w:p>
    <w:p w14:paraId="0F99FAF0" w14:textId="77777777" w:rsidR="00FF23EA" w:rsidRPr="001A552C" w:rsidRDefault="00FF23EA">
      <w:pPr>
        <w:pStyle w:val="NormalWeb"/>
        <w:spacing w:beforeLines="50" w:before="120" w:beforeAutospacing="0" w:afterLines="50" w:after="120" w:afterAutospacing="0" w:line="360" w:lineRule="auto"/>
        <w:jc w:val="both"/>
        <w:rPr>
          <w:sz w:val="28"/>
          <w:szCs w:val="28"/>
        </w:rPr>
      </w:pPr>
      <w:r w:rsidRPr="001A552C">
        <w:rPr>
          <w:sz w:val="28"/>
          <w:szCs w:val="28"/>
        </w:rPr>
        <w:t>+ Người quản lý doanh nghiệp, người quản lý điều hành hợp tác xã có hưởng tiền lương.</w:t>
      </w:r>
    </w:p>
    <w:p w14:paraId="213C862E" w14:textId="77777777" w:rsidR="00FF23EA" w:rsidRPr="001A552C" w:rsidRDefault="00FF23EA">
      <w:pPr>
        <w:pStyle w:val="Heading3"/>
        <w:spacing w:beforeLines="50" w:before="120" w:beforeAutospacing="0" w:afterLines="50" w:after="120" w:afterAutospacing="0" w:line="360" w:lineRule="auto"/>
        <w:rPr>
          <w:rFonts w:ascii="Times New Roman" w:hAnsi="Times New Roman" w:hint="default"/>
          <w:sz w:val="28"/>
          <w:szCs w:val="28"/>
        </w:rPr>
      </w:pPr>
      <w:r w:rsidRPr="001A552C">
        <w:rPr>
          <w:rFonts w:ascii="Times New Roman" w:hAnsi="Times New Roman" w:hint="default"/>
          <w:sz w:val="28"/>
          <w:szCs w:val="28"/>
        </w:rPr>
        <w:t>2. Tỷ lệ các khoản trích bảo hiểm</w:t>
      </w:r>
    </w:p>
    <w:p w14:paraId="29F46702" w14:textId="77777777" w:rsidR="00FF23EA" w:rsidRPr="001A552C" w:rsidRDefault="00FF23EA">
      <w:pPr>
        <w:pStyle w:val="NormalWeb"/>
        <w:spacing w:beforeLines="50" w:before="120" w:beforeAutospacing="0" w:afterLines="50" w:after="120" w:afterAutospacing="0" w:line="360" w:lineRule="auto"/>
        <w:rPr>
          <w:sz w:val="28"/>
          <w:szCs w:val="28"/>
        </w:rPr>
      </w:pPr>
      <w:r w:rsidRPr="001A552C">
        <w:rPr>
          <w:sz w:val="28"/>
          <w:szCs w:val="28"/>
        </w:rPr>
        <w:t>Căn cứ theo quyết định 595/QĐ-BHXH áp dụng từ ngày 1/6/2017</w:t>
      </w:r>
    </w:p>
    <w:tbl>
      <w:tblPr>
        <w:tblW w:w="0" w:type="auto"/>
        <w:tblCellSpacing w:w="1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2754"/>
        <w:gridCol w:w="2466"/>
        <w:gridCol w:w="2275"/>
        <w:gridCol w:w="1019"/>
      </w:tblGrid>
      <w:tr w:rsidR="00FF23EA" w:rsidRPr="001A552C" w14:paraId="5BA2A876" w14:textId="77777777" w:rsidTr="001A552C">
        <w:trPr>
          <w:tblCellSpacing w:w="15" w:type="dxa"/>
        </w:trPr>
        <w:tc>
          <w:tcPr>
            <w:tcW w:w="2709" w:type="dxa"/>
            <w:vAlign w:val="center"/>
          </w:tcPr>
          <w:p w14:paraId="20207878" w14:textId="77777777" w:rsidR="00FF23EA" w:rsidRPr="001A552C" w:rsidRDefault="00FF23EA">
            <w:pPr>
              <w:spacing w:beforeLines="50" w:before="120" w:afterLines="50" w:after="120" w:line="360" w:lineRule="auto"/>
              <w:jc w:val="center"/>
              <w:rPr>
                <w:rFonts w:ascii="Times New Roman" w:hAnsi="Times New Roman"/>
                <w:sz w:val="28"/>
                <w:szCs w:val="28"/>
              </w:rPr>
            </w:pPr>
            <w:r w:rsidRPr="001A552C">
              <w:rPr>
                <w:rStyle w:val="Strong"/>
                <w:rFonts w:ascii="Times New Roman" w:hAnsi="Times New Roman"/>
                <w:sz w:val="28"/>
                <w:szCs w:val="28"/>
                <w:lang w:bidi="ar"/>
              </w:rPr>
              <w:t>Các khoản trích theo lương</w:t>
            </w:r>
          </w:p>
        </w:tc>
        <w:tc>
          <w:tcPr>
            <w:tcW w:w="2436" w:type="dxa"/>
            <w:vAlign w:val="center"/>
          </w:tcPr>
          <w:p w14:paraId="18BA44AD" w14:textId="77777777" w:rsidR="00FF23EA" w:rsidRPr="001A552C" w:rsidRDefault="00FF23EA">
            <w:pPr>
              <w:spacing w:beforeLines="50" w:before="120" w:afterLines="50" w:after="120" w:line="360" w:lineRule="auto"/>
              <w:jc w:val="center"/>
              <w:rPr>
                <w:rFonts w:ascii="Times New Roman" w:hAnsi="Times New Roman"/>
                <w:sz w:val="28"/>
                <w:szCs w:val="28"/>
              </w:rPr>
            </w:pPr>
            <w:r w:rsidRPr="001A552C">
              <w:rPr>
                <w:rStyle w:val="Strong"/>
                <w:rFonts w:ascii="Times New Roman" w:hAnsi="Times New Roman"/>
                <w:sz w:val="28"/>
                <w:szCs w:val="28"/>
                <w:lang w:bidi="ar"/>
              </w:rPr>
              <w:t>Trích vào Chi phí của DN</w:t>
            </w:r>
          </w:p>
        </w:tc>
        <w:tc>
          <w:tcPr>
            <w:tcW w:w="2245" w:type="dxa"/>
            <w:vAlign w:val="center"/>
          </w:tcPr>
          <w:p w14:paraId="3CE9535A" w14:textId="77777777" w:rsidR="00FF23EA" w:rsidRPr="001A552C" w:rsidRDefault="00FF23EA">
            <w:pPr>
              <w:spacing w:beforeLines="50" w:before="120" w:afterLines="50" w:after="120" w:line="360" w:lineRule="auto"/>
              <w:jc w:val="center"/>
              <w:rPr>
                <w:rFonts w:ascii="Times New Roman" w:hAnsi="Times New Roman"/>
                <w:sz w:val="28"/>
                <w:szCs w:val="28"/>
              </w:rPr>
            </w:pPr>
            <w:r w:rsidRPr="001A552C">
              <w:rPr>
                <w:rStyle w:val="Strong"/>
                <w:rFonts w:ascii="Times New Roman" w:hAnsi="Times New Roman"/>
                <w:sz w:val="28"/>
                <w:szCs w:val="28"/>
                <w:lang w:bidi="ar"/>
              </w:rPr>
              <w:t>Trích vào lương của NLĐ</w:t>
            </w:r>
          </w:p>
        </w:tc>
        <w:tc>
          <w:tcPr>
            <w:tcW w:w="974" w:type="dxa"/>
            <w:vAlign w:val="center"/>
          </w:tcPr>
          <w:p w14:paraId="5E2F6781" w14:textId="77777777" w:rsidR="00FF23EA" w:rsidRPr="001A552C" w:rsidRDefault="00FF23EA">
            <w:pPr>
              <w:spacing w:beforeLines="50" w:before="120" w:afterLines="50" w:after="120" w:line="360" w:lineRule="auto"/>
              <w:jc w:val="center"/>
              <w:rPr>
                <w:rFonts w:ascii="Times New Roman" w:hAnsi="Times New Roman"/>
                <w:sz w:val="28"/>
                <w:szCs w:val="28"/>
              </w:rPr>
            </w:pPr>
            <w:r w:rsidRPr="001A552C">
              <w:rPr>
                <w:rStyle w:val="Strong"/>
                <w:rFonts w:ascii="Times New Roman" w:hAnsi="Times New Roman"/>
                <w:sz w:val="28"/>
                <w:szCs w:val="28"/>
                <w:lang w:bidi="ar"/>
              </w:rPr>
              <w:t>Tổng</w:t>
            </w:r>
          </w:p>
        </w:tc>
      </w:tr>
      <w:tr w:rsidR="00FF23EA" w:rsidRPr="001A552C" w14:paraId="7ECDED36" w14:textId="77777777" w:rsidTr="001A552C">
        <w:trPr>
          <w:tblCellSpacing w:w="15" w:type="dxa"/>
        </w:trPr>
        <w:tc>
          <w:tcPr>
            <w:tcW w:w="2709" w:type="dxa"/>
            <w:vAlign w:val="center"/>
          </w:tcPr>
          <w:p w14:paraId="0A25A697" w14:textId="77777777" w:rsidR="00FF23EA" w:rsidRPr="001A552C" w:rsidRDefault="00FF23EA">
            <w:pPr>
              <w:spacing w:beforeLines="50" w:before="120" w:afterLines="50" w:after="120" w:line="360" w:lineRule="auto"/>
              <w:rPr>
                <w:rFonts w:ascii="Times New Roman" w:hAnsi="Times New Roman"/>
                <w:sz w:val="28"/>
                <w:szCs w:val="28"/>
              </w:rPr>
            </w:pPr>
            <w:r w:rsidRPr="001A552C">
              <w:rPr>
                <w:rFonts w:ascii="Times New Roman" w:hAnsi="Times New Roman"/>
                <w:sz w:val="28"/>
                <w:szCs w:val="28"/>
                <w:lang w:bidi="ar"/>
              </w:rPr>
              <w:t>Bảo hiểm xã hội (BHXH)</w:t>
            </w:r>
          </w:p>
        </w:tc>
        <w:tc>
          <w:tcPr>
            <w:tcW w:w="2436" w:type="dxa"/>
            <w:vAlign w:val="center"/>
          </w:tcPr>
          <w:p w14:paraId="61749BA9" w14:textId="77777777" w:rsidR="00FF23EA" w:rsidRPr="001A552C" w:rsidRDefault="00FF23EA">
            <w:pPr>
              <w:spacing w:beforeLines="50" w:before="120" w:afterLines="50" w:after="120" w:line="360" w:lineRule="auto"/>
              <w:rPr>
                <w:rFonts w:ascii="Times New Roman" w:hAnsi="Times New Roman"/>
                <w:sz w:val="28"/>
                <w:szCs w:val="28"/>
              </w:rPr>
            </w:pPr>
            <w:r w:rsidRPr="001A552C">
              <w:rPr>
                <w:rFonts w:ascii="Times New Roman" w:hAnsi="Times New Roman"/>
                <w:sz w:val="28"/>
                <w:szCs w:val="28"/>
                <w:lang w:bidi="ar"/>
              </w:rPr>
              <w:t>17,5</w:t>
            </w:r>
          </w:p>
        </w:tc>
        <w:tc>
          <w:tcPr>
            <w:tcW w:w="2245" w:type="dxa"/>
            <w:vAlign w:val="center"/>
          </w:tcPr>
          <w:p w14:paraId="5184940F" w14:textId="77777777" w:rsidR="00FF23EA" w:rsidRPr="001A552C" w:rsidRDefault="00FF23EA">
            <w:pPr>
              <w:spacing w:beforeLines="50" w:before="120" w:afterLines="50" w:after="120" w:line="360" w:lineRule="auto"/>
              <w:rPr>
                <w:rFonts w:ascii="Times New Roman" w:hAnsi="Times New Roman"/>
                <w:sz w:val="28"/>
                <w:szCs w:val="28"/>
              </w:rPr>
            </w:pPr>
            <w:r w:rsidRPr="001A552C">
              <w:rPr>
                <w:rFonts w:ascii="Times New Roman" w:hAnsi="Times New Roman"/>
                <w:sz w:val="28"/>
                <w:szCs w:val="28"/>
                <w:lang w:bidi="ar"/>
              </w:rPr>
              <w:t>8</w:t>
            </w:r>
          </w:p>
        </w:tc>
        <w:tc>
          <w:tcPr>
            <w:tcW w:w="974" w:type="dxa"/>
            <w:vAlign w:val="center"/>
          </w:tcPr>
          <w:p w14:paraId="6630F257" w14:textId="77777777" w:rsidR="00FF23EA" w:rsidRPr="001A552C" w:rsidRDefault="00FF23EA">
            <w:pPr>
              <w:spacing w:beforeLines="50" w:before="120" w:afterLines="50" w:after="120" w:line="360" w:lineRule="auto"/>
              <w:rPr>
                <w:rFonts w:ascii="Times New Roman" w:hAnsi="Times New Roman"/>
                <w:sz w:val="28"/>
                <w:szCs w:val="28"/>
              </w:rPr>
            </w:pPr>
            <w:r w:rsidRPr="001A552C">
              <w:rPr>
                <w:rFonts w:ascii="Times New Roman" w:hAnsi="Times New Roman"/>
                <w:sz w:val="28"/>
                <w:szCs w:val="28"/>
                <w:lang w:bidi="ar"/>
              </w:rPr>
              <w:t>25,5%</w:t>
            </w:r>
          </w:p>
        </w:tc>
      </w:tr>
      <w:tr w:rsidR="00FF23EA" w:rsidRPr="001A552C" w14:paraId="6A3C1005" w14:textId="77777777" w:rsidTr="001A552C">
        <w:trPr>
          <w:tblCellSpacing w:w="15" w:type="dxa"/>
        </w:trPr>
        <w:tc>
          <w:tcPr>
            <w:tcW w:w="2709" w:type="dxa"/>
            <w:vAlign w:val="center"/>
          </w:tcPr>
          <w:p w14:paraId="3D122941" w14:textId="77777777" w:rsidR="00FF23EA" w:rsidRPr="001A552C" w:rsidRDefault="00FF23EA">
            <w:pPr>
              <w:spacing w:beforeLines="50" w:before="120" w:afterLines="50" w:after="120" w:line="360" w:lineRule="auto"/>
              <w:rPr>
                <w:rFonts w:ascii="Times New Roman" w:hAnsi="Times New Roman"/>
                <w:sz w:val="28"/>
                <w:szCs w:val="28"/>
              </w:rPr>
            </w:pPr>
            <w:r w:rsidRPr="001A552C">
              <w:rPr>
                <w:rFonts w:ascii="Times New Roman" w:hAnsi="Times New Roman"/>
                <w:sz w:val="28"/>
                <w:szCs w:val="28"/>
                <w:lang w:bidi="ar"/>
              </w:rPr>
              <w:t>Bảo hiểm y tế (BHYT)</w:t>
            </w:r>
          </w:p>
        </w:tc>
        <w:tc>
          <w:tcPr>
            <w:tcW w:w="2436" w:type="dxa"/>
            <w:vAlign w:val="center"/>
          </w:tcPr>
          <w:p w14:paraId="7CC5672B" w14:textId="77777777" w:rsidR="00FF23EA" w:rsidRPr="001A552C" w:rsidRDefault="00FF23EA">
            <w:pPr>
              <w:spacing w:beforeLines="50" w:before="120" w:afterLines="50" w:after="120" w:line="360" w:lineRule="auto"/>
              <w:rPr>
                <w:rFonts w:ascii="Times New Roman" w:hAnsi="Times New Roman"/>
                <w:sz w:val="28"/>
                <w:szCs w:val="28"/>
              </w:rPr>
            </w:pPr>
            <w:r w:rsidRPr="001A552C">
              <w:rPr>
                <w:rFonts w:ascii="Times New Roman" w:hAnsi="Times New Roman"/>
                <w:sz w:val="28"/>
                <w:szCs w:val="28"/>
                <w:lang w:bidi="ar"/>
              </w:rPr>
              <w:t>3</w:t>
            </w:r>
          </w:p>
        </w:tc>
        <w:tc>
          <w:tcPr>
            <w:tcW w:w="2245" w:type="dxa"/>
            <w:vAlign w:val="center"/>
          </w:tcPr>
          <w:p w14:paraId="3C13E48B" w14:textId="77777777" w:rsidR="00FF23EA" w:rsidRPr="001A552C" w:rsidRDefault="00FF23EA">
            <w:pPr>
              <w:spacing w:beforeLines="50" w:before="120" w:afterLines="50" w:after="120" w:line="360" w:lineRule="auto"/>
              <w:rPr>
                <w:rFonts w:ascii="Times New Roman" w:hAnsi="Times New Roman"/>
                <w:sz w:val="28"/>
                <w:szCs w:val="28"/>
              </w:rPr>
            </w:pPr>
            <w:r w:rsidRPr="001A552C">
              <w:rPr>
                <w:rFonts w:ascii="Times New Roman" w:hAnsi="Times New Roman"/>
                <w:sz w:val="28"/>
                <w:szCs w:val="28"/>
                <w:lang w:bidi="ar"/>
              </w:rPr>
              <w:t>1,5</w:t>
            </w:r>
          </w:p>
        </w:tc>
        <w:tc>
          <w:tcPr>
            <w:tcW w:w="974" w:type="dxa"/>
            <w:vAlign w:val="center"/>
          </w:tcPr>
          <w:p w14:paraId="62336F27" w14:textId="77777777" w:rsidR="00FF23EA" w:rsidRPr="001A552C" w:rsidRDefault="00FF23EA">
            <w:pPr>
              <w:spacing w:beforeLines="50" w:before="120" w:afterLines="50" w:after="120" w:line="360" w:lineRule="auto"/>
              <w:rPr>
                <w:rFonts w:ascii="Times New Roman" w:hAnsi="Times New Roman"/>
                <w:sz w:val="28"/>
                <w:szCs w:val="28"/>
              </w:rPr>
            </w:pPr>
            <w:r w:rsidRPr="001A552C">
              <w:rPr>
                <w:rFonts w:ascii="Times New Roman" w:hAnsi="Times New Roman"/>
                <w:sz w:val="28"/>
                <w:szCs w:val="28"/>
                <w:lang w:bidi="ar"/>
              </w:rPr>
              <w:t>4,5%</w:t>
            </w:r>
          </w:p>
        </w:tc>
      </w:tr>
      <w:tr w:rsidR="00FF23EA" w:rsidRPr="001A552C" w14:paraId="46AE7B1A" w14:textId="77777777" w:rsidTr="001A552C">
        <w:trPr>
          <w:tblCellSpacing w:w="15" w:type="dxa"/>
        </w:trPr>
        <w:tc>
          <w:tcPr>
            <w:tcW w:w="2709" w:type="dxa"/>
            <w:vAlign w:val="center"/>
          </w:tcPr>
          <w:p w14:paraId="1D3F7C64" w14:textId="77777777" w:rsidR="00FF23EA" w:rsidRPr="001A552C" w:rsidRDefault="00FF23EA">
            <w:pPr>
              <w:spacing w:beforeLines="50" w:before="120" w:afterLines="50" w:after="120" w:line="360" w:lineRule="auto"/>
              <w:rPr>
                <w:rFonts w:ascii="Times New Roman" w:hAnsi="Times New Roman"/>
                <w:sz w:val="28"/>
                <w:szCs w:val="28"/>
              </w:rPr>
            </w:pPr>
            <w:r w:rsidRPr="001A552C">
              <w:rPr>
                <w:rFonts w:ascii="Times New Roman" w:hAnsi="Times New Roman"/>
                <w:sz w:val="28"/>
                <w:szCs w:val="28"/>
                <w:lang w:bidi="ar"/>
              </w:rPr>
              <w:lastRenderedPageBreak/>
              <w:t>Bảo hiểm thất nghiệp (BHTN)</w:t>
            </w:r>
          </w:p>
        </w:tc>
        <w:tc>
          <w:tcPr>
            <w:tcW w:w="2436" w:type="dxa"/>
            <w:vAlign w:val="center"/>
          </w:tcPr>
          <w:p w14:paraId="2793C360" w14:textId="77777777" w:rsidR="00FF23EA" w:rsidRPr="001A552C" w:rsidRDefault="00FF23EA">
            <w:pPr>
              <w:spacing w:beforeLines="50" w:before="120" w:afterLines="50" w:after="120" w:line="360" w:lineRule="auto"/>
              <w:rPr>
                <w:rFonts w:ascii="Times New Roman" w:hAnsi="Times New Roman"/>
                <w:sz w:val="28"/>
                <w:szCs w:val="28"/>
              </w:rPr>
            </w:pPr>
            <w:r w:rsidRPr="001A552C">
              <w:rPr>
                <w:rFonts w:ascii="Times New Roman" w:hAnsi="Times New Roman"/>
                <w:sz w:val="28"/>
                <w:szCs w:val="28"/>
                <w:lang w:bidi="ar"/>
              </w:rPr>
              <w:t>1</w:t>
            </w:r>
          </w:p>
        </w:tc>
        <w:tc>
          <w:tcPr>
            <w:tcW w:w="2245" w:type="dxa"/>
            <w:vAlign w:val="center"/>
          </w:tcPr>
          <w:p w14:paraId="6ABAF272" w14:textId="77777777" w:rsidR="00FF23EA" w:rsidRPr="001A552C" w:rsidRDefault="00FF23EA">
            <w:pPr>
              <w:spacing w:beforeLines="50" w:before="120" w:afterLines="50" w:after="120" w:line="360" w:lineRule="auto"/>
              <w:rPr>
                <w:rFonts w:ascii="Times New Roman" w:hAnsi="Times New Roman"/>
                <w:sz w:val="28"/>
                <w:szCs w:val="28"/>
              </w:rPr>
            </w:pPr>
            <w:r w:rsidRPr="001A552C">
              <w:rPr>
                <w:rFonts w:ascii="Times New Roman" w:hAnsi="Times New Roman"/>
                <w:sz w:val="28"/>
                <w:szCs w:val="28"/>
                <w:lang w:bidi="ar"/>
              </w:rPr>
              <w:t>1</w:t>
            </w:r>
          </w:p>
        </w:tc>
        <w:tc>
          <w:tcPr>
            <w:tcW w:w="974" w:type="dxa"/>
            <w:vAlign w:val="center"/>
          </w:tcPr>
          <w:p w14:paraId="20F3DE93" w14:textId="77777777" w:rsidR="00FF23EA" w:rsidRPr="001A552C" w:rsidRDefault="00FF23EA">
            <w:pPr>
              <w:spacing w:beforeLines="50" w:before="120" w:afterLines="50" w:after="120" w:line="360" w:lineRule="auto"/>
              <w:rPr>
                <w:rFonts w:ascii="Times New Roman" w:hAnsi="Times New Roman"/>
                <w:sz w:val="28"/>
                <w:szCs w:val="28"/>
              </w:rPr>
            </w:pPr>
            <w:r w:rsidRPr="001A552C">
              <w:rPr>
                <w:rFonts w:ascii="Times New Roman" w:hAnsi="Times New Roman"/>
                <w:sz w:val="28"/>
                <w:szCs w:val="28"/>
                <w:lang w:bidi="ar"/>
              </w:rPr>
              <w:t>2%</w:t>
            </w:r>
          </w:p>
        </w:tc>
      </w:tr>
      <w:tr w:rsidR="00FF23EA" w:rsidRPr="001A552C" w14:paraId="51AE5A8F" w14:textId="77777777" w:rsidTr="001A552C">
        <w:trPr>
          <w:tblCellSpacing w:w="15" w:type="dxa"/>
        </w:trPr>
        <w:tc>
          <w:tcPr>
            <w:tcW w:w="2709" w:type="dxa"/>
            <w:vAlign w:val="center"/>
          </w:tcPr>
          <w:p w14:paraId="2EB57C26" w14:textId="77777777" w:rsidR="00FF23EA" w:rsidRPr="001A552C" w:rsidRDefault="00FF23EA">
            <w:pPr>
              <w:spacing w:beforeLines="50" w:before="120" w:afterLines="50" w:after="120" w:line="360" w:lineRule="auto"/>
              <w:rPr>
                <w:rFonts w:ascii="Times New Roman" w:hAnsi="Times New Roman"/>
                <w:sz w:val="28"/>
                <w:szCs w:val="28"/>
              </w:rPr>
            </w:pPr>
            <w:r w:rsidRPr="001A552C">
              <w:rPr>
                <w:rFonts w:ascii="Times New Roman" w:hAnsi="Times New Roman"/>
                <w:sz w:val="28"/>
                <w:szCs w:val="28"/>
                <w:lang w:bidi="ar"/>
              </w:rPr>
              <w:t>Tổng</w:t>
            </w:r>
          </w:p>
        </w:tc>
        <w:tc>
          <w:tcPr>
            <w:tcW w:w="2436" w:type="dxa"/>
            <w:vAlign w:val="center"/>
          </w:tcPr>
          <w:p w14:paraId="03688045" w14:textId="77777777" w:rsidR="00FF23EA" w:rsidRPr="001A552C" w:rsidRDefault="00FF23EA">
            <w:pPr>
              <w:spacing w:beforeLines="50" w:before="120" w:afterLines="50" w:after="120" w:line="360" w:lineRule="auto"/>
              <w:rPr>
                <w:rFonts w:ascii="Times New Roman" w:hAnsi="Times New Roman"/>
                <w:sz w:val="28"/>
                <w:szCs w:val="28"/>
              </w:rPr>
            </w:pPr>
            <w:r w:rsidRPr="001A552C">
              <w:rPr>
                <w:rFonts w:ascii="Times New Roman" w:hAnsi="Times New Roman"/>
                <w:sz w:val="28"/>
                <w:szCs w:val="28"/>
                <w:lang w:bidi="ar"/>
              </w:rPr>
              <w:t>21,5%</w:t>
            </w:r>
          </w:p>
        </w:tc>
        <w:tc>
          <w:tcPr>
            <w:tcW w:w="2245" w:type="dxa"/>
            <w:vAlign w:val="center"/>
          </w:tcPr>
          <w:p w14:paraId="5B0D8EF6" w14:textId="77777777" w:rsidR="00FF23EA" w:rsidRPr="001A552C" w:rsidRDefault="00FF23EA">
            <w:pPr>
              <w:spacing w:beforeLines="50" w:before="120" w:afterLines="50" w:after="120" w:line="360" w:lineRule="auto"/>
              <w:rPr>
                <w:rFonts w:ascii="Times New Roman" w:hAnsi="Times New Roman"/>
                <w:sz w:val="28"/>
                <w:szCs w:val="28"/>
              </w:rPr>
            </w:pPr>
            <w:r w:rsidRPr="001A552C">
              <w:rPr>
                <w:rFonts w:ascii="Times New Roman" w:hAnsi="Times New Roman"/>
                <w:sz w:val="28"/>
                <w:szCs w:val="28"/>
                <w:lang w:bidi="ar"/>
              </w:rPr>
              <w:t>10,5%</w:t>
            </w:r>
          </w:p>
        </w:tc>
        <w:tc>
          <w:tcPr>
            <w:tcW w:w="974" w:type="dxa"/>
            <w:vAlign w:val="center"/>
          </w:tcPr>
          <w:p w14:paraId="3232608A" w14:textId="77777777" w:rsidR="00FF23EA" w:rsidRPr="001A552C" w:rsidRDefault="00FF23EA">
            <w:pPr>
              <w:spacing w:beforeLines="50" w:before="120" w:afterLines="50" w:after="120" w:line="360" w:lineRule="auto"/>
              <w:rPr>
                <w:rFonts w:ascii="Times New Roman" w:hAnsi="Times New Roman"/>
                <w:sz w:val="28"/>
                <w:szCs w:val="28"/>
              </w:rPr>
            </w:pPr>
            <w:r w:rsidRPr="001A552C">
              <w:rPr>
                <w:rFonts w:ascii="Times New Roman" w:hAnsi="Times New Roman"/>
                <w:sz w:val="28"/>
                <w:szCs w:val="28"/>
                <w:lang w:bidi="ar"/>
              </w:rPr>
              <w:t>32%</w:t>
            </w:r>
          </w:p>
        </w:tc>
      </w:tr>
      <w:tr w:rsidR="00FF23EA" w:rsidRPr="001A552C" w14:paraId="54EA4A45" w14:textId="77777777" w:rsidTr="001A552C">
        <w:trPr>
          <w:tblCellSpacing w:w="15" w:type="dxa"/>
        </w:trPr>
        <w:tc>
          <w:tcPr>
            <w:tcW w:w="2709" w:type="dxa"/>
            <w:vAlign w:val="center"/>
          </w:tcPr>
          <w:p w14:paraId="28D50448" w14:textId="77777777" w:rsidR="00FF23EA" w:rsidRPr="001A552C" w:rsidRDefault="00FF23EA">
            <w:pPr>
              <w:spacing w:beforeLines="50" w:before="120" w:afterLines="50" w:after="120" w:line="360" w:lineRule="auto"/>
              <w:rPr>
                <w:rFonts w:ascii="Times New Roman" w:hAnsi="Times New Roman"/>
                <w:sz w:val="28"/>
                <w:szCs w:val="28"/>
              </w:rPr>
            </w:pPr>
            <w:r w:rsidRPr="001A552C">
              <w:rPr>
                <w:rFonts w:ascii="Times New Roman" w:hAnsi="Times New Roman"/>
                <w:sz w:val="28"/>
                <w:szCs w:val="28"/>
                <w:lang w:bidi="ar"/>
              </w:rPr>
              <w:t>Kinh phí công đoàn (KPCĐ)</w:t>
            </w:r>
          </w:p>
        </w:tc>
        <w:tc>
          <w:tcPr>
            <w:tcW w:w="2436" w:type="dxa"/>
            <w:vAlign w:val="center"/>
          </w:tcPr>
          <w:p w14:paraId="0F11F9F4" w14:textId="77777777" w:rsidR="00FF23EA" w:rsidRPr="001A552C" w:rsidRDefault="00FF23EA">
            <w:pPr>
              <w:spacing w:beforeLines="50" w:before="120" w:afterLines="50" w:after="120" w:line="360" w:lineRule="auto"/>
              <w:rPr>
                <w:rFonts w:ascii="Times New Roman" w:hAnsi="Times New Roman"/>
                <w:sz w:val="28"/>
                <w:szCs w:val="28"/>
              </w:rPr>
            </w:pPr>
            <w:r w:rsidRPr="001A552C">
              <w:rPr>
                <w:rFonts w:ascii="Times New Roman" w:hAnsi="Times New Roman"/>
                <w:sz w:val="28"/>
                <w:szCs w:val="28"/>
                <w:lang w:bidi="ar"/>
              </w:rPr>
              <w:t>2%</w:t>
            </w:r>
          </w:p>
        </w:tc>
        <w:tc>
          <w:tcPr>
            <w:tcW w:w="2245" w:type="dxa"/>
            <w:vAlign w:val="center"/>
          </w:tcPr>
          <w:p w14:paraId="3FAEB72B" w14:textId="77777777" w:rsidR="00FF23EA" w:rsidRPr="001A552C" w:rsidRDefault="00FF23EA">
            <w:pPr>
              <w:spacing w:beforeLines="50" w:before="120" w:afterLines="50" w:after="120" w:line="360" w:lineRule="auto"/>
              <w:rPr>
                <w:rFonts w:ascii="Times New Roman" w:hAnsi="Times New Roman"/>
                <w:sz w:val="28"/>
                <w:szCs w:val="28"/>
              </w:rPr>
            </w:pPr>
            <w:r w:rsidRPr="001A552C">
              <w:rPr>
                <w:rFonts w:ascii="Times New Roman" w:hAnsi="Times New Roman"/>
                <w:sz w:val="28"/>
                <w:szCs w:val="28"/>
                <w:lang w:bidi="ar"/>
              </w:rPr>
              <w:t> </w:t>
            </w:r>
          </w:p>
        </w:tc>
        <w:tc>
          <w:tcPr>
            <w:tcW w:w="974" w:type="dxa"/>
            <w:vAlign w:val="center"/>
          </w:tcPr>
          <w:p w14:paraId="2CB5C8EF" w14:textId="77777777" w:rsidR="00FF23EA" w:rsidRPr="001A552C" w:rsidRDefault="00FF23EA">
            <w:pPr>
              <w:spacing w:beforeLines="50" w:before="120" w:afterLines="50" w:after="120" w:line="360" w:lineRule="auto"/>
              <w:rPr>
                <w:rFonts w:ascii="Times New Roman" w:hAnsi="Times New Roman"/>
                <w:sz w:val="28"/>
                <w:szCs w:val="28"/>
              </w:rPr>
            </w:pPr>
            <w:r w:rsidRPr="001A552C">
              <w:rPr>
                <w:rFonts w:ascii="Times New Roman" w:hAnsi="Times New Roman"/>
                <w:sz w:val="28"/>
                <w:szCs w:val="28"/>
                <w:lang w:bidi="ar"/>
              </w:rPr>
              <w:t>2%</w:t>
            </w:r>
          </w:p>
        </w:tc>
      </w:tr>
    </w:tbl>
    <w:p w14:paraId="3B3023EA" w14:textId="77777777" w:rsidR="00FF23EA" w:rsidRPr="001A552C" w:rsidRDefault="00FF23EA">
      <w:pPr>
        <w:pStyle w:val="NormalWeb"/>
        <w:spacing w:beforeLines="50" w:before="120" w:beforeAutospacing="0" w:afterLines="50" w:after="120" w:afterAutospacing="0" w:line="360" w:lineRule="auto"/>
        <w:jc w:val="both"/>
        <w:rPr>
          <w:sz w:val="28"/>
          <w:szCs w:val="28"/>
        </w:rPr>
      </w:pPr>
      <w:r w:rsidRPr="001A552C">
        <w:rPr>
          <w:sz w:val="28"/>
          <w:szCs w:val="28"/>
        </w:rPr>
        <w:t xml:space="preserve">Khoản BHXH: </w:t>
      </w:r>
      <w:r w:rsidRPr="001A552C">
        <w:rPr>
          <w:rStyle w:val="Strong"/>
          <w:sz w:val="28"/>
          <w:szCs w:val="28"/>
        </w:rPr>
        <w:t>17,5% trích vào DN</w:t>
      </w:r>
      <w:r w:rsidRPr="001A552C">
        <w:rPr>
          <w:sz w:val="28"/>
          <w:szCs w:val="28"/>
        </w:rPr>
        <w:t xml:space="preserve"> (</w:t>
      </w:r>
      <w:r w:rsidRPr="001A552C">
        <w:rPr>
          <w:rStyle w:val="Strong"/>
          <w:sz w:val="28"/>
          <w:szCs w:val="28"/>
        </w:rPr>
        <w:t>Trong đó</w:t>
      </w:r>
      <w:r w:rsidRPr="001A552C">
        <w:rPr>
          <w:sz w:val="28"/>
          <w:szCs w:val="28"/>
        </w:rPr>
        <w:t>: 3% vào quỹ ốm đau và thai sản và 14% vào quỹ hưu trí và tử tuất, 0,5% vào quỹ Bảo hiểm tai nạn lao động, bệnh nghề nghiệp) và 8% trích vào lương Người lao động (đóng vào quỹ hưu trí và tử tuất)</w:t>
      </w:r>
    </w:p>
    <w:p w14:paraId="40DEA299" w14:textId="77777777" w:rsidR="00FF23EA" w:rsidRPr="001A552C" w:rsidRDefault="00FF23EA">
      <w:pPr>
        <w:pStyle w:val="NormalWeb"/>
        <w:spacing w:beforeLines="50" w:before="120" w:beforeAutospacing="0" w:afterLines="50" w:after="120" w:afterAutospacing="0" w:line="360" w:lineRule="auto"/>
        <w:jc w:val="both"/>
        <w:rPr>
          <w:sz w:val="28"/>
          <w:szCs w:val="28"/>
        </w:rPr>
      </w:pPr>
      <w:r w:rsidRPr="001A552C">
        <w:rPr>
          <w:rStyle w:val="Strong"/>
          <w:sz w:val="28"/>
          <w:szCs w:val="28"/>
        </w:rPr>
        <w:t>Như vậy:</w:t>
      </w:r>
    </w:p>
    <w:p w14:paraId="38109236" w14:textId="77777777" w:rsidR="00FF23EA" w:rsidRPr="001A552C" w:rsidRDefault="00FF23EA">
      <w:pPr>
        <w:numPr>
          <w:ilvl w:val="0"/>
          <w:numId w:val="1"/>
        </w:numPr>
        <w:tabs>
          <w:tab w:val="clear" w:pos="420"/>
        </w:tabs>
        <w:spacing w:beforeLines="50" w:before="120" w:afterLines="50" w:after="120" w:line="360" w:lineRule="auto"/>
        <w:jc w:val="both"/>
        <w:rPr>
          <w:rFonts w:ascii="Times New Roman" w:hAnsi="Times New Roman"/>
          <w:sz w:val="28"/>
          <w:szCs w:val="28"/>
        </w:rPr>
      </w:pPr>
      <w:r w:rsidRPr="001A552C">
        <w:rPr>
          <w:rFonts w:ascii="Times New Roman" w:hAnsi="Times New Roman"/>
          <w:sz w:val="28"/>
          <w:szCs w:val="28"/>
        </w:rPr>
        <w:t xml:space="preserve">Tổng cộng hàng tháng DN phải đóng cho Cơ quan BHXH là </w:t>
      </w:r>
      <w:r w:rsidRPr="001A552C">
        <w:rPr>
          <w:rStyle w:val="Strong"/>
          <w:rFonts w:ascii="Times New Roman" w:hAnsi="Times New Roman"/>
          <w:sz w:val="28"/>
          <w:szCs w:val="28"/>
        </w:rPr>
        <w:t>32%</w:t>
      </w:r>
      <w:r w:rsidRPr="001A552C">
        <w:rPr>
          <w:rFonts w:ascii="Times New Roman" w:hAnsi="Times New Roman"/>
          <w:sz w:val="28"/>
          <w:szCs w:val="28"/>
        </w:rPr>
        <w:t xml:space="preserve"> (BHXH, BHYT, BHTN, BHTNLĐ, BNN). (Trong đó trích từ tiền lương của NLĐ là 10,5%)</w:t>
      </w:r>
    </w:p>
    <w:p w14:paraId="6EC5F828" w14:textId="77777777" w:rsidR="00FF23EA" w:rsidRPr="001A552C" w:rsidRDefault="00FF23EA">
      <w:pPr>
        <w:numPr>
          <w:ilvl w:val="0"/>
          <w:numId w:val="1"/>
        </w:numPr>
        <w:tabs>
          <w:tab w:val="clear" w:pos="420"/>
        </w:tabs>
        <w:spacing w:beforeLines="50" w:before="120" w:afterLines="50" w:after="120" w:line="360" w:lineRule="auto"/>
        <w:jc w:val="both"/>
        <w:rPr>
          <w:rFonts w:ascii="Times New Roman" w:hAnsi="Times New Roman"/>
          <w:sz w:val="28"/>
          <w:szCs w:val="28"/>
        </w:rPr>
      </w:pPr>
      <w:r w:rsidRPr="001A552C">
        <w:rPr>
          <w:rFonts w:ascii="Times New Roman" w:hAnsi="Times New Roman"/>
          <w:sz w:val="28"/>
          <w:szCs w:val="28"/>
        </w:rPr>
        <w:t xml:space="preserve">Phải đóng cho Liên đoàn lao động Quận, huyện là </w:t>
      </w:r>
      <w:r w:rsidRPr="001A552C">
        <w:rPr>
          <w:rStyle w:val="Strong"/>
          <w:rFonts w:ascii="Times New Roman" w:hAnsi="Times New Roman"/>
          <w:sz w:val="28"/>
          <w:szCs w:val="28"/>
        </w:rPr>
        <w:t>2%</w:t>
      </w:r>
      <w:r w:rsidRPr="001A552C">
        <w:rPr>
          <w:rFonts w:ascii="Times New Roman" w:hAnsi="Times New Roman"/>
          <w:sz w:val="28"/>
          <w:szCs w:val="28"/>
        </w:rPr>
        <w:t xml:space="preserve"> (KPCĐ) trên quỹ tiền lương hàng tháng của những người tham gia BHXH.</w:t>
      </w:r>
    </w:p>
    <w:p w14:paraId="3BCE0EDE" w14:textId="77777777" w:rsidR="00FF23EA" w:rsidRPr="001A552C" w:rsidRDefault="00FF23EA">
      <w:pPr>
        <w:pStyle w:val="Heading3"/>
        <w:spacing w:beforeLines="50" w:before="120" w:beforeAutospacing="0" w:afterLines="50" w:after="120" w:afterAutospacing="0" w:line="360" w:lineRule="auto"/>
        <w:jc w:val="both"/>
        <w:rPr>
          <w:rFonts w:ascii="Times New Roman" w:hAnsi="Times New Roman" w:hint="default"/>
          <w:sz w:val="28"/>
          <w:szCs w:val="28"/>
        </w:rPr>
      </w:pPr>
      <w:r w:rsidRPr="001A552C">
        <w:rPr>
          <w:rStyle w:val="Strong"/>
          <w:rFonts w:ascii="Times New Roman" w:hAnsi="Times New Roman" w:hint="default"/>
          <w:sz w:val="28"/>
          <w:szCs w:val="28"/>
        </w:rPr>
        <w:t>3. Mức tiền lương đóng BHYT, BHXH bắt buộc, BHTN</w:t>
      </w:r>
    </w:p>
    <w:p w14:paraId="6B1D29B2" w14:textId="77777777" w:rsidR="00FF23EA" w:rsidRPr="001A552C" w:rsidRDefault="00FF23EA">
      <w:pPr>
        <w:pStyle w:val="NormalWeb"/>
        <w:spacing w:beforeLines="50" w:before="120" w:beforeAutospacing="0" w:afterLines="50" w:after="120" w:afterAutospacing="0" w:line="360" w:lineRule="auto"/>
        <w:jc w:val="both"/>
        <w:rPr>
          <w:sz w:val="28"/>
          <w:szCs w:val="28"/>
        </w:rPr>
      </w:pPr>
      <w:r w:rsidRPr="001A552C">
        <w:rPr>
          <w:sz w:val="28"/>
          <w:szCs w:val="28"/>
        </w:rPr>
        <w:t> - Mức tiền lương đóng BHYT, BHXH bắt buộc, BHTN là tiền lương tháng được ghi trong hợp đồng lao động. Bắt đầu từ ngày 1/1/2018 trở đi, tiền lương tháng đóng BHXH sẽ bao gồm cả mức lương và phụ cấp, các khoản bổ sung khác theo quy định của Luật lao động.</w:t>
      </w:r>
    </w:p>
    <w:p w14:paraId="58D583B4" w14:textId="77777777" w:rsidR="00FF23EA" w:rsidRPr="001A552C" w:rsidRDefault="00FF23EA">
      <w:pPr>
        <w:pStyle w:val="NormalWeb"/>
        <w:spacing w:beforeLines="50" w:before="120" w:beforeAutospacing="0" w:afterLines="50" w:after="120" w:afterAutospacing="0" w:line="360" w:lineRule="auto"/>
        <w:jc w:val="both"/>
        <w:rPr>
          <w:sz w:val="28"/>
          <w:szCs w:val="28"/>
        </w:rPr>
      </w:pPr>
      <w:r w:rsidRPr="001A552C">
        <w:rPr>
          <w:sz w:val="28"/>
          <w:szCs w:val="28"/>
        </w:rPr>
        <w:t>- Mức tiền lương thấp nhất để đóng BHXH không được phép thấp hơn mức lương tối thiểu vùng tại thời điểm đóng. Ví dụ như lao động đang làm việc ở vùng 1, mức lương tối thiểu vùng là 3.980.000 đồng thì tiền lương ít nhất là đạt được 3.980.000 đồng mới tham gia đóng bảo hiểm.</w:t>
      </w:r>
    </w:p>
    <w:p w14:paraId="122A7BEA" w14:textId="77777777" w:rsidR="00FF23EA" w:rsidRPr="001A552C" w:rsidRDefault="00FF23EA">
      <w:pPr>
        <w:pStyle w:val="NormalWeb"/>
        <w:spacing w:beforeLines="50" w:before="120" w:beforeAutospacing="0" w:afterLines="50" w:after="120" w:afterAutospacing="0" w:line="360" w:lineRule="auto"/>
        <w:jc w:val="both"/>
        <w:rPr>
          <w:sz w:val="28"/>
          <w:szCs w:val="28"/>
        </w:rPr>
      </w:pPr>
      <w:r w:rsidRPr="001A552C">
        <w:rPr>
          <w:rStyle w:val="Strong"/>
          <w:sz w:val="28"/>
          <w:szCs w:val="28"/>
        </w:rPr>
        <w:lastRenderedPageBreak/>
        <w:t>Lưu ý</w:t>
      </w:r>
      <w:r w:rsidRPr="001A552C">
        <w:rPr>
          <w:sz w:val="28"/>
          <w:szCs w:val="28"/>
        </w:rPr>
        <w:t>: Người lao động đã qua đào tạo và học nghề (kể cả lao động do doanh nghiệp trực tiếp dạy nghề) thì tiền lương đóng BHXH bắt buộc phải cao hơn ít nhất 7% so với mức lương tối thiểu vùng. Nếu lao động làm việc nặng nhọc, độc hại, có tính chất nguy hiểm thì phải được cộng thêm ít nhất 5% tiền lương so với mức lương tối thiểu vùng.</w:t>
      </w:r>
    </w:p>
    <w:tbl>
      <w:tblPr>
        <w:tblW w:w="0" w:type="auto"/>
        <w:tblCellSpacing w:w="1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659"/>
        <w:gridCol w:w="6736"/>
      </w:tblGrid>
      <w:tr w:rsidR="00FF23EA" w:rsidRPr="001A552C" w14:paraId="30FA569C" w14:textId="77777777">
        <w:trPr>
          <w:tblCellSpacing w:w="15" w:type="dxa"/>
        </w:trPr>
        <w:tc>
          <w:tcPr>
            <w:tcW w:w="1614" w:type="dxa"/>
            <w:vAlign w:val="center"/>
          </w:tcPr>
          <w:p w14:paraId="02E08C97" w14:textId="77777777" w:rsidR="00FF23EA" w:rsidRPr="001A552C" w:rsidRDefault="00FF23EA">
            <w:pPr>
              <w:pStyle w:val="NormalWeb"/>
              <w:spacing w:beforeLines="50" w:before="120" w:beforeAutospacing="0" w:afterLines="50" w:after="120" w:afterAutospacing="0" w:line="360" w:lineRule="auto"/>
              <w:jc w:val="center"/>
              <w:rPr>
                <w:sz w:val="28"/>
                <w:szCs w:val="28"/>
              </w:rPr>
            </w:pPr>
            <w:r w:rsidRPr="001A552C">
              <w:rPr>
                <w:rStyle w:val="Strong"/>
                <w:sz w:val="28"/>
                <w:szCs w:val="28"/>
              </w:rPr>
              <w:t>Vùng</w:t>
            </w:r>
          </w:p>
        </w:tc>
        <w:tc>
          <w:tcPr>
            <w:tcW w:w="6691" w:type="dxa"/>
            <w:vAlign w:val="center"/>
          </w:tcPr>
          <w:p w14:paraId="7B7E2264" w14:textId="77777777" w:rsidR="00FF23EA" w:rsidRPr="001A552C" w:rsidRDefault="00FF23EA">
            <w:pPr>
              <w:pStyle w:val="NormalWeb"/>
              <w:spacing w:beforeLines="50" w:before="120" w:beforeAutospacing="0" w:afterLines="50" w:after="120" w:afterAutospacing="0" w:line="360" w:lineRule="auto"/>
              <w:jc w:val="center"/>
              <w:rPr>
                <w:sz w:val="28"/>
                <w:szCs w:val="28"/>
              </w:rPr>
            </w:pPr>
            <w:r w:rsidRPr="001A552C">
              <w:rPr>
                <w:rStyle w:val="Strong"/>
                <w:sz w:val="28"/>
                <w:szCs w:val="28"/>
              </w:rPr>
              <w:t>Mức lương tối thiểu vùng 2018</w:t>
            </w:r>
          </w:p>
        </w:tc>
      </w:tr>
      <w:tr w:rsidR="00FF23EA" w:rsidRPr="001A552C" w14:paraId="40C6E2C9" w14:textId="77777777">
        <w:trPr>
          <w:tblCellSpacing w:w="15" w:type="dxa"/>
        </w:trPr>
        <w:tc>
          <w:tcPr>
            <w:tcW w:w="1614" w:type="dxa"/>
            <w:vAlign w:val="center"/>
          </w:tcPr>
          <w:p w14:paraId="0ED96808" w14:textId="77777777" w:rsidR="00FF23EA" w:rsidRPr="001A552C" w:rsidRDefault="00FF23EA">
            <w:pPr>
              <w:pStyle w:val="NormalWeb"/>
              <w:spacing w:beforeLines="50" w:before="120" w:beforeAutospacing="0" w:afterLines="50" w:after="120" w:afterAutospacing="0" w:line="360" w:lineRule="auto"/>
              <w:rPr>
                <w:sz w:val="28"/>
                <w:szCs w:val="28"/>
              </w:rPr>
            </w:pPr>
            <w:r w:rsidRPr="001A552C">
              <w:rPr>
                <w:sz w:val="28"/>
                <w:szCs w:val="28"/>
              </w:rPr>
              <w:t>Vùng I</w:t>
            </w:r>
          </w:p>
        </w:tc>
        <w:tc>
          <w:tcPr>
            <w:tcW w:w="6691" w:type="dxa"/>
            <w:vAlign w:val="center"/>
          </w:tcPr>
          <w:p w14:paraId="4578A7B7" w14:textId="77777777" w:rsidR="00FF23EA" w:rsidRPr="001A552C" w:rsidRDefault="00FF23EA">
            <w:pPr>
              <w:pStyle w:val="NormalWeb"/>
              <w:spacing w:beforeLines="50" w:before="120" w:beforeAutospacing="0" w:afterLines="50" w:after="120" w:afterAutospacing="0" w:line="360" w:lineRule="auto"/>
              <w:rPr>
                <w:sz w:val="28"/>
                <w:szCs w:val="28"/>
              </w:rPr>
            </w:pPr>
            <w:r w:rsidRPr="001A552C">
              <w:rPr>
                <w:sz w:val="28"/>
                <w:szCs w:val="28"/>
              </w:rPr>
              <w:t>3.980.000 đồng/tháng</w:t>
            </w:r>
          </w:p>
        </w:tc>
      </w:tr>
      <w:tr w:rsidR="00FF23EA" w:rsidRPr="001A552C" w14:paraId="45593ADD" w14:textId="77777777">
        <w:trPr>
          <w:tblCellSpacing w:w="15" w:type="dxa"/>
        </w:trPr>
        <w:tc>
          <w:tcPr>
            <w:tcW w:w="1614" w:type="dxa"/>
            <w:vAlign w:val="center"/>
          </w:tcPr>
          <w:p w14:paraId="28F7018D" w14:textId="77777777" w:rsidR="00FF23EA" w:rsidRPr="001A552C" w:rsidRDefault="00FF23EA">
            <w:pPr>
              <w:pStyle w:val="NormalWeb"/>
              <w:spacing w:beforeLines="50" w:before="120" w:beforeAutospacing="0" w:afterLines="50" w:after="120" w:afterAutospacing="0" w:line="360" w:lineRule="auto"/>
              <w:rPr>
                <w:sz w:val="28"/>
                <w:szCs w:val="28"/>
              </w:rPr>
            </w:pPr>
            <w:r w:rsidRPr="001A552C">
              <w:rPr>
                <w:sz w:val="28"/>
                <w:szCs w:val="28"/>
              </w:rPr>
              <w:t>Vùng II</w:t>
            </w:r>
          </w:p>
        </w:tc>
        <w:tc>
          <w:tcPr>
            <w:tcW w:w="6691" w:type="dxa"/>
            <w:vAlign w:val="center"/>
          </w:tcPr>
          <w:p w14:paraId="27035178" w14:textId="77777777" w:rsidR="00FF23EA" w:rsidRPr="001A552C" w:rsidRDefault="00FF23EA">
            <w:pPr>
              <w:pStyle w:val="NormalWeb"/>
              <w:spacing w:beforeLines="50" w:before="120" w:beforeAutospacing="0" w:afterLines="50" w:after="120" w:afterAutospacing="0" w:line="360" w:lineRule="auto"/>
              <w:rPr>
                <w:sz w:val="28"/>
                <w:szCs w:val="28"/>
              </w:rPr>
            </w:pPr>
            <w:r w:rsidRPr="001A552C">
              <w:rPr>
                <w:sz w:val="28"/>
                <w:szCs w:val="28"/>
              </w:rPr>
              <w:t>3.530.000 đồng/tháng</w:t>
            </w:r>
          </w:p>
        </w:tc>
      </w:tr>
      <w:tr w:rsidR="00FF23EA" w:rsidRPr="001A552C" w14:paraId="15339B4B" w14:textId="77777777">
        <w:trPr>
          <w:tblCellSpacing w:w="15" w:type="dxa"/>
        </w:trPr>
        <w:tc>
          <w:tcPr>
            <w:tcW w:w="1614" w:type="dxa"/>
            <w:vAlign w:val="center"/>
          </w:tcPr>
          <w:p w14:paraId="0B341B10" w14:textId="77777777" w:rsidR="00FF23EA" w:rsidRPr="001A552C" w:rsidRDefault="00FF23EA">
            <w:pPr>
              <w:pStyle w:val="NormalWeb"/>
              <w:spacing w:beforeLines="50" w:before="120" w:beforeAutospacing="0" w:afterLines="50" w:after="120" w:afterAutospacing="0" w:line="360" w:lineRule="auto"/>
              <w:rPr>
                <w:sz w:val="28"/>
                <w:szCs w:val="28"/>
              </w:rPr>
            </w:pPr>
            <w:r w:rsidRPr="001A552C">
              <w:rPr>
                <w:sz w:val="28"/>
                <w:szCs w:val="28"/>
              </w:rPr>
              <w:t>Vùng III</w:t>
            </w:r>
          </w:p>
        </w:tc>
        <w:tc>
          <w:tcPr>
            <w:tcW w:w="6691" w:type="dxa"/>
            <w:vAlign w:val="center"/>
          </w:tcPr>
          <w:p w14:paraId="68FEE211" w14:textId="77777777" w:rsidR="00FF23EA" w:rsidRPr="001A552C" w:rsidRDefault="00FF23EA">
            <w:pPr>
              <w:pStyle w:val="NormalWeb"/>
              <w:spacing w:beforeLines="50" w:before="120" w:beforeAutospacing="0" w:afterLines="50" w:after="120" w:afterAutospacing="0" w:line="360" w:lineRule="auto"/>
              <w:rPr>
                <w:sz w:val="28"/>
                <w:szCs w:val="28"/>
              </w:rPr>
            </w:pPr>
            <w:r w:rsidRPr="001A552C">
              <w:rPr>
                <w:sz w:val="28"/>
                <w:szCs w:val="28"/>
              </w:rPr>
              <w:t>3.090.000 đồng/tháng</w:t>
            </w:r>
          </w:p>
        </w:tc>
      </w:tr>
      <w:tr w:rsidR="00FF23EA" w:rsidRPr="001A552C" w14:paraId="5FFFE58F" w14:textId="77777777">
        <w:trPr>
          <w:tblCellSpacing w:w="15" w:type="dxa"/>
        </w:trPr>
        <w:tc>
          <w:tcPr>
            <w:tcW w:w="1614" w:type="dxa"/>
            <w:vAlign w:val="center"/>
          </w:tcPr>
          <w:p w14:paraId="77D93C0C" w14:textId="77777777" w:rsidR="00FF23EA" w:rsidRPr="001A552C" w:rsidRDefault="00FF23EA">
            <w:pPr>
              <w:pStyle w:val="NormalWeb"/>
              <w:spacing w:beforeLines="50" w:before="120" w:beforeAutospacing="0" w:afterLines="50" w:after="120" w:afterAutospacing="0" w:line="360" w:lineRule="auto"/>
              <w:rPr>
                <w:sz w:val="28"/>
                <w:szCs w:val="28"/>
              </w:rPr>
            </w:pPr>
            <w:r w:rsidRPr="001A552C">
              <w:rPr>
                <w:sz w:val="28"/>
                <w:szCs w:val="28"/>
              </w:rPr>
              <w:t>Vùng IV</w:t>
            </w:r>
          </w:p>
        </w:tc>
        <w:tc>
          <w:tcPr>
            <w:tcW w:w="6691" w:type="dxa"/>
            <w:vAlign w:val="center"/>
          </w:tcPr>
          <w:p w14:paraId="63E19437" w14:textId="77777777" w:rsidR="00FF23EA" w:rsidRPr="001A552C" w:rsidRDefault="00FF23EA">
            <w:pPr>
              <w:pStyle w:val="NormalWeb"/>
              <w:spacing w:beforeLines="50" w:before="120" w:beforeAutospacing="0" w:afterLines="50" w:after="120" w:afterAutospacing="0" w:line="360" w:lineRule="auto"/>
              <w:rPr>
                <w:sz w:val="28"/>
                <w:szCs w:val="28"/>
              </w:rPr>
            </w:pPr>
            <w:r w:rsidRPr="001A552C">
              <w:rPr>
                <w:sz w:val="28"/>
                <w:szCs w:val="28"/>
              </w:rPr>
              <w:t>2.760.000 đồng/tháng</w:t>
            </w:r>
          </w:p>
        </w:tc>
      </w:tr>
    </w:tbl>
    <w:p w14:paraId="77168825" w14:textId="77777777" w:rsidR="00FF23EA" w:rsidRPr="001A552C" w:rsidRDefault="00FF23EA" w:rsidP="001A552C">
      <w:pPr>
        <w:pStyle w:val="NormalWeb"/>
        <w:spacing w:beforeLines="50" w:before="120" w:beforeAutospacing="0" w:afterLines="50" w:after="120" w:afterAutospacing="0" w:line="360" w:lineRule="auto"/>
        <w:jc w:val="both"/>
        <w:rPr>
          <w:sz w:val="28"/>
          <w:szCs w:val="28"/>
        </w:rPr>
      </w:pPr>
      <w:r w:rsidRPr="001A552C">
        <w:rPr>
          <w:rStyle w:val="Strong"/>
          <w:sz w:val="28"/>
          <w:szCs w:val="28"/>
        </w:rPr>
        <w:t>Lưu ý</w:t>
      </w:r>
      <w:r w:rsidRPr="001A552C">
        <w:rPr>
          <w:sz w:val="28"/>
          <w:szCs w:val="28"/>
        </w:rPr>
        <w:t>: Những người lao động làm việc từ 2 nơi trở lên sẽ đóng mức BHXH, BHTN theo hợp đồng lao động đầu tiên, đóng BHYT theo hợp đồng có mức lương cao nhất.</w:t>
      </w:r>
    </w:p>
    <w:sectPr w:rsidR="00FF23EA" w:rsidRPr="001A552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5811EF"/>
    <w:multiLevelType w:val="singleLevel"/>
    <w:tmpl w:val="635811EF"/>
    <w:lvl w:ilvl="0">
      <w:start w:val="1"/>
      <w:numFmt w:val="bullet"/>
      <w:lvlText w:val=""/>
      <w:lvlJc w:val="left"/>
      <w:pPr>
        <w:tabs>
          <w:tab w:val="num" w:pos="420"/>
        </w:tabs>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04F3D03"/>
    <w:rsid w:val="001A552C"/>
    <w:rsid w:val="00DE0409"/>
    <w:rsid w:val="00FF23EA"/>
    <w:rsid w:val="604F3D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F5123"/>
  <w15:chartTrackingRefBased/>
  <w15:docId w15:val="{6AA0A5B9-31FF-4560-A434-5AF461B6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lang w:val="en-US" w:eastAsia="zh-CN"/>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val="en-US" w:eastAsia="zh-CN"/>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rPr>
      <w:color w:val="0000FF"/>
      <w:u w:val="single"/>
    </w:rPr>
  </w:style>
  <w:style w:type="paragraph" w:styleId="NormalWeb">
    <w:name w:val="Normal (Web)"/>
    <w:pPr>
      <w:spacing w:before="100" w:beforeAutospacing="1" w:after="100" w:afterAutospacing="1"/>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ndoc.com/quyet-dinh-595-qd-bhxh-ve-quy-trinh-thu-va-quan-ly-so-bhxh-the-bhyt/downlo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Links>
    <vt:vector size="6" baseType="variant">
      <vt:variant>
        <vt:i4>3997732</vt:i4>
      </vt:variant>
      <vt:variant>
        <vt:i4>0</vt:i4>
      </vt:variant>
      <vt:variant>
        <vt:i4>0</vt:i4>
      </vt:variant>
      <vt:variant>
        <vt:i4>5</vt:i4>
      </vt:variant>
      <vt:variant>
        <vt:lpwstr>https://vndoc.com/quyet-dinh-595-qd-bhxh-ve-quy-trinh-thu-va-quan-ly-so-bhxh-the-bhyt/download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Tranquocanh9889</cp:lastModifiedBy>
  <cp:revision>2</cp:revision>
  <dcterms:created xsi:type="dcterms:W3CDTF">2020-06-11T17:34:00Z</dcterms:created>
  <dcterms:modified xsi:type="dcterms:W3CDTF">2020-06-11T17:34:00Z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