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7"/>
        </w:rPr>
      </w:pPr>
      <w:r w:rsidRPr="00F4567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7"/>
        </w:rPr>
        <w:t>VĂN PHÒNG CÔNG CHỨNG THÁI HÀ</w:t>
      </w:r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11"/>
          <w:szCs w:val="9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nay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đã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trở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một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bộ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thể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thiếu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quản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nước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về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 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tăng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trưởng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nền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kinh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tế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đã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khiến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dịch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thương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quan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đến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tài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tăng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ngừng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Vì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vậy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thời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qua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hoạt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phòng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trở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gần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gũi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thiết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thực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với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tầng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lớp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toàn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xã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Để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bảo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đảm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quyền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lợi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ích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yêu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cầu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giản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linh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hoạt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về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thủ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tục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đang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quan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tâm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lớn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nhất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với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nay.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Chúng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tôi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- </w:t>
      </w:r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VĂN PHÒNG CÔNG CHỨNG THÁI HÀ</w:t>
      </w: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một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những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phòng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uy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đầu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lĩnh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vực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cam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kết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giải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quyết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những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khăn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nói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đem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an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toàn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tuyệt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đối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dịch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 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VĂN PHÒNG CÔNG CHỨNG THÁI HÀ</w:t>
      </w: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được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lập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ngày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18/12/2008,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địa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chỉ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148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phường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Trung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Liệt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Đống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dưới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điều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trình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bề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dày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tích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lĩnh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vực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 w:firstLine="4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1.     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kiêm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Trưởng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phòng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Nguyễn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Việt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Cường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: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nguyên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Giảng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trường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thẩm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,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chánh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tòa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chánh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tòa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Lao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,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tòa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Ủy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thẩm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Tòa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Giảng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kiêm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đào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tạo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thẩm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2.     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Nguyễn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Trung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Tín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: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Giáo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Tiến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Nguyên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tổng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biên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tập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Tạp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chí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nước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Từng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tham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đào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tạo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cử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tiến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khoa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Quốc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khoa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xã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Nam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Huế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3.     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viên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Vũ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Quốc</w:t>
      </w:r>
      <w:proofErr w:type="spellEnd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7"/>
        </w:rPr>
        <w:t>Hùng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: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học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cử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ngoại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ngữ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Nguyên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đoàn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sư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Ngoài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ra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chúng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tôi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còn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bộ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nghiệp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vụ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năng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nhiệt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tình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trình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độ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chuyên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môn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tụy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VĂN PHÒNG CÔNG CHỨNG THÁI HÀ</w:t>
      </w: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loại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giao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dịch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sau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chấp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bảo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lãnh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chấp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góp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vốn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kinh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kinh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doanh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thuê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mượn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(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đất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tài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).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chuyển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nhượng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tặng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cho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chuyển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đổi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QSD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đất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mua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bán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(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đất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ô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tô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xe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máy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tài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).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giao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dịch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yếu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tố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nước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ngoài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lastRenderedPageBreak/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chia QSD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đất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phân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chia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tài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trong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thời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kỳ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hôn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nhân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ủy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quyền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giấy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ủy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quyền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(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đất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ô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tô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xe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máy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vụ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việc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hành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chính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)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Di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chúc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khai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nhận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di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thừa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thỏa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thuận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phân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chia di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thừa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từ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chối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nhận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di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sản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thừa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kế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         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hợp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đồng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văn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bản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khác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nếu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nhu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cầu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Cs w:val="20"/>
        </w:rPr>
        <w:t> </w:t>
      </w:r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Cs w:val="20"/>
        </w:rPr>
        <w:t> </w:t>
      </w:r>
    </w:p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VĂN PHÒNG CÔNG CHỨNG THÁI HÀ</w:t>
      </w: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việc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cả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thứ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7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chủ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Nhằm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đảm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bảo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cầu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chúng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tôi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còn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thực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ngoài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giờ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chính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ngoài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trụ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sở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các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ngày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nghỉ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ngày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lễ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...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Mức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phí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công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chứng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chúng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tôi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luôn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tuân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thủ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theo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quy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định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proofErr w:type="gram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 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pháp</w:t>
      </w:r>
      <w:proofErr w:type="spellEnd"/>
      <w:proofErr w:type="gram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luật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hơn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nữa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đối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với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những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tiềm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năng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chúng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tôi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những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ưu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đãi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đặc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biệt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.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Có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thể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nói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đến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với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r w:rsidRPr="00F4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</w:rPr>
        <w:t>VĂN PHÒNG CÔNG CHỨNG THÁI HÀ</w:t>
      </w: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sự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lựa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chọn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hoàn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hảo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của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quý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khách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</w:pPr>
    </w:p>
    <w:p w:rsidR="00F45673" w:rsidRPr="00F45673" w:rsidRDefault="00F45673" w:rsidP="00F4567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bookmarkStart w:id="0" w:name="_GoBack"/>
      <w:bookmarkEnd w:id="0"/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Mọi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chi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tiết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xin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vui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lòng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liên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hệ</w:t>
      </w:r>
      <w:proofErr w:type="spellEnd"/>
      <w:r w:rsidRPr="00F456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</w:rPr>
        <w:t>:</w:t>
      </w:r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Điện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thoại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 (84-4) 35 379 209 - Fax: (84-4) 35 379 210 - Hotline:  0935 669 669</w:t>
      </w:r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Địa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chỉ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: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Số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148,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Thái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proofErr w:type="gram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,</w:t>
      </w:r>
      <w:proofErr w:type="gram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phường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Trung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Liệt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quận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Đống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Đa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,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thành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phố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Hà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spellStart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Nội</w:t>
      </w:r>
      <w:proofErr w:type="spellEnd"/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.</w:t>
      </w:r>
    </w:p>
    <w:p w:rsidR="00F45673" w:rsidRPr="00F45673" w:rsidRDefault="00F45673" w:rsidP="00F45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</w:pPr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Website: </w:t>
      </w:r>
      <w:hyperlink r:id="rId4" w:tgtFrame="_blank" w:history="1">
        <w:r w:rsidRPr="00F45673">
          <w:rPr>
            <w:rFonts w:ascii="Times New Roman" w:eastAsia="Times New Roman" w:hAnsi="Times New Roman" w:cs="Times New Roman"/>
            <w:color w:val="000000" w:themeColor="text1"/>
            <w:sz w:val="28"/>
            <w:szCs w:val="27"/>
            <w:u w:val="single"/>
          </w:rPr>
          <w:t>http://congchungthaiha.com</w:t>
        </w:r>
      </w:hyperlink>
      <w:r w:rsidRPr="00F45673"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 - Email: </w:t>
      </w:r>
      <w:hyperlink r:id="rId5" w:tgtFrame="_blank" w:history="1">
        <w:r w:rsidRPr="00F45673">
          <w:rPr>
            <w:rFonts w:ascii="Times New Roman" w:eastAsia="Times New Roman" w:hAnsi="Times New Roman" w:cs="Times New Roman"/>
            <w:color w:val="000000" w:themeColor="text1"/>
            <w:sz w:val="28"/>
            <w:szCs w:val="27"/>
            <w:u w:val="single"/>
          </w:rPr>
          <w:t>ccthaiha@gmail.com</w:t>
        </w:r>
      </w:hyperlink>
    </w:p>
    <w:p w:rsidR="00632C3B" w:rsidRPr="00F45673" w:rsidRDefault="00632C3B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632C3B" w:rsidRPr="00F4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3"/>
    <w:rsid w:val="00632C3B"/>
    <w:rsid w:val="00F4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F9D0"/>
  <w15:chartTrackingRefBased/>
  <w15:docId w15:val="{2B97BB09-A5D4-4146-800A-25A7FBC9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5673"/>
  </w:style>
  <w:style w:type="paragraph" w:styleId="NormalWeb">
    <w:name w:val="Normal (Web)"/>
    <w:basedOn w:val="Normal"/>
    <w:uiPriority w:val="99"/>
    <w:semiHidden/>
    <w:unhideWhenUsed/>
    <w:rsid w:val="00F4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thaiha@gmail.com" TargetMode="External"/><Relationship Id="rId4" Type="http://schemas.openxmlformats.org/officeDocument/2006/relationships/hyperlink" Target="http://congchungthai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2020-05-11T14:47:00Z</dcterms:created>
  <dcterms:modified xsi:type="dcterms:W3CDTF">2020-05-11T14:50:00Z</dcterms:modified>
</cp:coreProperties>
</file>